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156" w:line="1000" w:lineRule="exact"/>
        <w:ind w:left="-480" w:leftChars="-200" w:right="-480" w:rightChars="-200" w:firstLine="0" w:firstLineChars="0"/>
        <w:jc w:val="center"/>
        <w:rPr>
          <w:rFonts w:hint="eastAsia" w:eastAsia="黑体"/>
          <w:b/>
          <w:bCs/>
          <w:sz w:val="44"/>
          <w:szCs w:val="44"/>
          <w:lang w:eastAsia="zh-CN"/>
        </w:rPr>
      </w:pPr>
      <w:r>
        <w:rPr>
          <w:rFonts w:hint="eastAsia" w:eastAsia="黑体"/>
          <w:b/>
          <w:bCs/>
          <w:sz w:val="44"/>
          <w:szCs w:val="44"/>
          <w:lang w:eastAsia="zh-CN"/>
        </w:rPr>
        <w:t>甘孜康定新都桥220kV临时变35kV配套工程</w:t>
      </w:r>
    </w:p>
    <w:p>
      <w:pPr>
        <w:widowControl w:val="0"/>
        <w:adjustRightInd/>
        <w:snapToGrid/>
        <w:spacing w:before="156" w:line="1000" w:lineRule="exact"/>
        <w:ind w:left="-480" w:leftChars="-200" w:right="-480" w:rightChars="-200" w:firstLine="0" w:firstLineChars="0"/>
        <w:jc w:val="center"/>
        <w:rPr>
          <w:rFonts w:eastAsia="黑体"/>
          <w:b/>
          <w:sz w:val="72"/>
          <w:szCs w:val="72"/>
        </w:rPr>
      </w:pPr>
      <w:r>
        <w:rPr>
          <w:rFonts w:eastAsia="黑体"/>
          <w:b/>
          <w:sz w:val="72"/>
          <w:szCs w:val="72"/>
        </w:rPr>
        <w:t>水土保持设施验收报告</w:t>
      </w: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p>
      <w:pPr>
        <w:spacing w:before="156"/>
        <w:ind w:firstLine="480"/>
      </w:pPr>
    </w:p>
    <w:tbl>
      <w:tblPr>
        <w:tblStyle w:val="33"/>
        <w:tblW w:w="651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1" w:type="dxa"/>
          <w:bottom w:w="0" w:type="dxa"/>
          <w:right w:w="11" w:type="dxa"/>
        </w:tblCellMar>
      </w:tblPr>
      <w:tblGrid>
        <w:gridCol w:w="1655"/>
        <w:gridCol w:w="48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1" w:type="dxa"/>
            <w:bottom w:w="0" w:type="dxa"/>
            <w:right w:w="11" w:type="dxa"/>
          </w:tblCellMar>
        </w:tblPrEx>
        <w:trPr>
          <w:jc w:val="center"/>
        </w:trPr>
        <w:tc>
          <w:tcPr>
            <w:tcW w:w="1655" w:type="dxa"/>
          </w:tcPr>
          <w:p>
            <w:pPr>
              <w:keepNext w:val="0"/>
              <w:keepLines w:val="0"/>
              <w:widowControl w:val="0"/>
              <w:suppressLineNumbers w:val="0"/>
              <w:adjustRightInd/>
              <w:spacing w:before="0" w:beforeLines="40" w:beforeAutospacing="0" w:after="0" w:afterAutospacing="0" w:line="240" w:lineRule="auto"/>
              <w:ind w:left="0" w:right="0" w:firstLine="0" w:firstLineChars="0"/>
              <w:jc w:val="distribute"/>
              <w:rPr>
                <w:rFonts w:eastAsiaTheme="majorEastAsia"/>
                <w:bCs/>
                <w:sz w:val="32"/>
                <w:szCs w:val="32"/>
              </w:rPr>
            </w:pPr>
            <w:r>
              <w:rPr>
                <w:rFonts w:eastAsiaTheme="majorEastAsia"/>
                <w:bCs/>
                <w:sz w:val="32"/>
                <w:szCs w:val="32"/>
              </w:rPr>
              <w:t xml:space="preserve">建设单位： </w:t>
            </w:r>
          </w:p>
        </w:tc>
        <w:tc>
          <w:tcPr>
            <w:tcW w:w="4857" w:type="dxa"/>
          </w:tcPr>
          <w:p>
            <w:pPr>
              <w:keepNext w:val="0"/>
              <w:keepLines w:val="0"/>
              <w:widowControl w:val="0"/>
              <w:suppressLineNumbers w:val="0"/>
              <w:adjustRightInd/>
              <w:spacing w:before="0" w:beforeLines="40" w:beforeAutospacing="0" w:after="0" w:afterAutospacing="0" w:line="240" w:lineRule="auto"/>
              <w:ind w:left="0" w:right="0" w:firstLine="0" w:firstLineChars="0"/>
              <w:jc w:val="distribute"/>
              <w:rPr>
                <w:rFonts w:eastAsiaTheme="majorEastAsia"/>
                <w:bCs/>
                <w:sz w:val="32"/>
                <w:szCs w:val="32"/>
              </w:rPr>
            </w:pPr>
            <w:r>
              <w:rPr>
                <w:rFonts w:eastAsiaTheme="majorEastAsia"/>
                <w:bCs/>
                <w:sz w:val="32"/>
                <w:szCs w:val="32"/>
              </w:rPr>
              <w:t>国网四川省电力公司</w:t>
            </w:r>
            <w:r>
              <w:rPr>
                <w:rFonts w:hint="eastAsia" w:eastAsiaTheme="majorEastAsia"/>
                <w:bCs/>
                <w:sz w:val="32"/>
                <w:szCs w:val="32"/>
              </w:rPr>
              <w:t>甘孜供电公司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1655" w:type="dxa"/>
          </w:tcPr>
          <w:p>
            <w:pPr>
              <w:keepNext w:val="0"/>
              <w:keepLines w:val="0"/>
              <w:widowControl w:val="0"/>
              <w:suppressLineNumbers w:val="0"/>
              <w:adjustRightInd/>
              <w:spacing w:before="0" w:beforeLines="40" w:beforeAutospacing="0" w:after="0" w:afterAutospacing="0" w:line="240" w:lineRule="auto"/>
              <w:ind w:left="0" w:right="0" w:firstLine="0" w:firstLineChars="0"/>
              <w:jc w:val="distribute"/>
              <w:rPr>
                <w:rFonts w:eastAsiaTheme="majorEastAsia"/>
                <w:bCs/>
                <w:sz w:val="32"/>
                <w:szCs w:val="32"/>
              </w:rPr>
            </w:pPr>
            <w:r>
              <w:rPr>
                <w:rFonts w:eastAsiaTheme="majorEastAsia"/>
                <w:bCs/>
                <w:sz w:val="32"/>
                <w:szCs w:val="32"/>
              </w:rPr>
              <w:t xml:space="preserve">编制单位： </w:t>
            </w:r>
          </w:p>
        </w:tc>
        <w:tc>
          <w:tcPr>
            <w:tcW w:w="4857" w:type="dxa"/>
          </w:tcPr>
          <w:p>
            <w:pPr>
              <w:keepNext w:val="0"/>
              <w:keepLines w:val="0"/>
              <w:widowControl w:val="0"/>
              <w:suppressLineNumbers w:val="0"/>
              <w:adjustRightInd/>
              <w:spacing w:before="0" w:beforeLines="40" w:beforeAutospacing="0" w:after="0" w:afterAutospacing="0" w:line="240" w:lineRule="auto"/>
              <w:ind w:left="0" w:right="0" w:firstLine="0" w:firstLineChars="0"/>
              <w:jc w:val="distribute"/>
              <w:rPr>
                <w:rFonts w:eastAsiaTheme="majorEastAsia"/>
                <w:bCs/>
                <w:sz w:val="32"/>
                <w:szCs w:val="32"/>
              </w:rPr>
            </w:pPr>
            <w:r>
              <w:rPr>
                <w:rFonts w:hint="eastAsia" w:eastAsiaTheme="majorEastAsia"/>
                <w:bCs/>
                <w:sz w:val="32"/>
                <w:szCs w:val="32"/>
              </w:rPr>
              <w:t>成都浚川工程设计咨询有限公司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1" w:type="dxa"/>
            <w:bottom w:w="0" w:type="dxa"/>
            <w:right w:w="11" w:type="dxa"/>
          </w:tblCellMar>
        </w:tblPrEx>
        <w:trPr>
          <w:jc w:val="center"/>
        </w:trPr>
        <w:tc>
          <w:tcPr>
            <w:tcW w:w="6512" w:type="dxa"/>
            <w:gridSpan w:val="2"/>
          </w:tcPr>
          <w:p>
            <w:pPr>
              <w:keepNext w:val="0"/>
              <w:keepLines w:val="0"/>
              <w:widowControl w:val="0"/>
              <w:suppressLineNumbers w:val="0"/>
              <w:adjustRightInd/>
              <w:spacing w:before="0" w:beforeLines="40" w:beforeAutospacing="0" w:after="0" w:afterAutospacing="0" w:line="240" w:lineRule="auto"/>
              <w:ind w:left="0" w:right="0" w:firstLine="0" w:firstLineChars="0"/>
              <w:jc w:val="center"/>
              <w:rPr>
                <w:rFonts w:eastAsiaTheme="majorEastAsia"/>
                <w:bCs/>
                <w:sz w:val="32"/>
                <w:szCs w:val="32"/>
              </w:rPr>
            </w:pPr>
            <w:r>
              <w:rPr>
                <w:rFonts w:eastAsiaTheme="majorEastAsia"/>
                <w:bCs/>
                <w:sz w:val="32"/>
                <w:szCs w:val="32"/>
              </w:rPr>
              <w:t>二〇</w:t>
            </w:r>
            <w:r>
              <w:rPr>
                <w:rFonts w:hint="eastAsia" w:eastAsiaTheme="majorEastAsia"/>
                <w:bCs/>
                <w:sz w:val="32"/>
                <w:szCs w:val="32"/>
              </w:rPr>
              <w:t>二一</w:t>
            </w:r>
            <w:r>
              <w:rPr>
                <w:rFonts w:eastAsiaTheme="majorEastAsia"/>
                <w:bCs/>
                <w:sz w:val="32"/>
                <w:szCs w:val="32"/>
              </w:rPr>
              <w:t>年</w:t>
            </w:r>
            <w:r>
              <w:rPr>
                <w:rFonts w:hint="eastAsia" w:eastAsiaTheme="majorEastAsia"/>
                <w:bCs/>
                <w:sz w:val="32"/>
                <w:szCs w:val="32"/>
                <w:lang w:val="en-US" w:eastAsia="zh-CN"/>
              </w:rPr>
              <w:t>五</w:t>
            </w:r>
            <w:bookmarkStart w:id="251" w:name="_GoBack"/>
            <w:bookmarkEnd w:id="251"/>
            <w:r>
              <w:rPr>
                <w:rFonts w:eastAsiaTheme="majorEastAsia"/>
                <w:bCs/>
                <w:sz w:val="32"/>
                <w:szCs w:val="32"/>
              </w:rPr>
              <w:t>月</w:t>
            </w:r>
          </w:p>
        </w:tc>
      </w:tr>
    </w:tbl>
    <w:p>
      <w:pPr>
        <w:spacing w:before="156"/>
        <w:ind w:firstLine="480"/>
      </w:pPr>
    </w:p>
    <w:p>
      <w:pPr>
        <w:widowControl w:val="0"/>
        <w:adjustRightInd/>
        <w:spacing w:beforeLines="40" w:line="240" w:lineRule="auto"/>
        <w:ind w:firstLine="0" w:firstLineChars="0"/>
        <w:jc w:val="left"/>
        <w:rPr>
          <w:rFonts w:eastAsiaTheme="majorEastAsia"/>
          <w:b/>
          <w:bCs/>
          <w:sz w:val="32"/>
          <w:szCs w:val="32"/>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spacing w:before="120"/>
        <w:ind w:firstLine="480"/>
        <w:rPr>
          <w:rFonts w:hint="eastAsia"/>
          <w:lang w:eastAsia="zh-CN"/>
        </w:rPr>
      </w:pPr>
    </w:p>
    <w:p>
      <w:pPr>
        <w:spacing w:before="120"/>
        <w:ind w:firstLine="480"/>
        <w:rPr>
          <w:rFonts w:hint="eastAsia"/>
          <w:lang w:eastAsia="zh-CN"/>
        </w:rPr>
      </w:pPr>
    </w:p>
    <w:p>
      <w:pPr>
        <w:spacing w:before="120"/>
        <w:ind w:firstLine="480"/>
        <w:rPr>
          <w:rFonts w:hint="eastAsia"/>
          <w:lang w:eastAsia="zh-CN"/>
        </w:rPr>
      </w:pPr>
      <w:r>
        <w:rPr>
          <w:rFonts w:hint="eastAsia"/>
          <w:lang w:eastAsia="zh-CN"/>
        </w:rPr>
        <w:drawing>
          <wp:anchor distT="0" distB="0" distL="114300" distR="114300" simplePos="0" relativeHeight="251658240" behindDoc="0" locked="0" layoutInCell="1" allowOverlap="1">
            <wp:simplePos x="0" y="0"/>
            <wp:positionH relativeFrom="column">
              <wp:posOffset>-225425</wp:posOffset>
            </wp:positionH>
            <wp:positionV relativeFrom="paragraph">
              <wp:posOffset>596265</wp:posOffset>
            </wp:positionV>
            <wp:extent cx="5791835" cy="4160520"/>
            <wp:effectExtent l="0" t="0" r="18415" b="11430"/>
            <wp:wrapNone/>
            <wp:docPr id="1" name="图片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3"/>
                    <pic:cNvPicPr>
                      <a:picLocks noChangeAspect="1"/>
                    </pic:cNvPicPr>
                  </pic:nvPicPr>
                  <pic:blipFill>
                    <a:blip r:embed="rId31"/>
                    <a:stretch>
                      <a:fillRect/>
                    </a:stretch>
                  </pic:blipFill>
                  <pic:spPr>
                    <a:xfrm>
                      <a:off x="0" y="0"/>
                      <a:ext cx="5791835" cy="4160520"/>
                    </a:xfrm>
                    <a:prstGeom prst="rect">
                      <a:avLst/>
                    </a:prstGeom>
                  </pic:spPr>
                </pic:pic>
              </a:graphicData>
            </a:graphic>
          </wp:anchor>
        </w:drawing>
      </w:r>
    </w:p>
    <w:p>
      <w:pPr>
        <w:spacing w:before="120"/>
        <w:ind w:firstLine="480"/>
        <w:rPr>
          <w:rFonts w:hint="eastAsia"/>
          <w:lang w:eastAsia="zh-CN"/>
        </w:rPr>
      </w:pPr>
    </w:p>
    <w:p>
      <w:pPr>
        <w:pStyle w:val="2"/>
        <w:rPr>
          <w:rFonts w:eastAsiaTheme="majorEastAsia"/>
          <w:b/>
          <w:bCs/>
          <w:sz w:val="44"/>
          <w:szCs w:val="44"/>
        </w:rPr>
      </w:pPr>
    </w:p>
    <w:p>
      <w:pPr>
        <w:rPr>
          <w:rFonts w:eastAsiaTheme="majorEastAsia"/>
          <w:b/>
          <w:bCs/>
          <w:sz w:val="44"/>
          <w:szCs w:val="44"/>
        </w:rPr>
      </w:pPr>
    </w:p>
    <w:p>
      <w:pPr>
        <w:pStyle w:val="2"/>
        <w:rPr>
          <w:rFonts w:eastAsiaTheme="majorEastAsia"/>
          <w:b/>
          <w:bCs/>
          <w:sz w:val="44"/>
          <w:szCs w:val="44"/>
        </w:rPr>
      </w:pPr>
    </w:p>
    <w:p>
      <w:pPr>
        <w:rPr>
          <w:rFonts w:eastAsiaTheme="majorEastAsia"/>
          <w:b/>
          <w:bCs/>
          <w:sz w:val="44"/>
          <w:szCs w:val="44"/>
        </w:rPr>
      </w:pPr>
    </w:p>
    <w:p>
      <w:pPr>
        <w:pStyle w:val="2"/>
        <w:rPr>
          <w:rFonts w:eastAsiaTheme="majorEastAsia"/>
          <w:b/>
          <w:bCs/>
          <w:sz w:val="44"/>
          <w:szCs w:val="44"/>
        </w:rPr>
      </w:pPr>
    </w:p>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widowControl w:val="0"/>
        <w:adjustRightInd/>
        <w:snapToGrid/>
        <w:spacing w:beforeLines="0" w:line="120" w:lineRule="exact"/>
        <w:ind w:left="-480" w:leftChars="-200" w:right="-480" w:rightChars="-200" w:firstLine="0" w:firstLineChars="0"/>
        <w:jc w:val="center"/>
        <w:rPr>
          <w:rFonts w:eastAsiaTheme="majorEastAsia"/>
          <w:b/>
          <w:bCs/>
          <w:sz w:val="44"/>
          <w:szCs w:val="44"/>
        </w:rPr>
      </w:pPr>
    </w:p>
    <w:p>
      <w:pPr>
        <w:spacing w:before="156" w:line="240" w:lineRule="auto"/>
        <w:ind w:firstLine="0" w:firstLineChars="0"/>
        <w:jc w:val="center"/>
        <w:rPr>
          <w:rFonts w:hint="eastAsia" w:eastAsia="仿宋_GB2312"/>
          <w:b/>
          <w:sz w:val="52"/>
          <w:szCs w:val="36"/>
          <w:lang w:eastAsia="zh-CN"/>
        </w:rPr>
      </w:pPr>
    </w:p>
    <w:p>
      <w:pPr>
        <w:spacing w:before="156"/>
        <w:ind w:firstLine="640"/>
        <w:rPr>
          <w:rFonts w:eastAsiaTheme="majorEastAsia"/>
          <w:sz w:val="32"/>
          <w:szCs w:val="32"/>
        </w:rPr>
      </w:pPr>
    </w:p>
    <w:p>
      <w:pPr>
        <w:pStyle w:val="2"/>
        <w:rPr>
          <w:rFonts w:eastAsiaTheme="majorEastAsia"/>
          <w:sz w:val="32"/>
          <w:szCs w:val="32"/>
        </w:rPr>
      </w:pPr>
    </w:p>
    <w:p/>
    <w:p>
      <w:pPr>
        <w:spacing w:before="156"/>
        <w:ind w:firstLine="562"/>
        <w:rPr>
          <w:rFonts w:ascii="宋体" w:hAnsi="宋体" w:eastAsia="宋体"/>
          <w:sz w:val="28"/>
          <w:szCs w:val="28"/>
        </w:rPr>
      </w:pPr>
      <w:r>
        <w:rPr>
          <w:rFonts w:ascii="宋体" w:hAnsi="宋体" w:eastAsia="宋体"/>
          <w:b/>
          <w:bCs/>
          <w:sz w:val="28"/>
          <w:szCs w:val="28"/>
        </w:rPr>
        <w:t>项目联系人</w:t>
      </w:r>
      <w:r>
        <w:rPr>
          <w:rFonts w:hint="eastAsia" w:ascii="宋体" w:hAnsi="宋体" w:eastAsia="宋体"/>
          <w:sz w:val="28"/>
          <w:szCs w:val="28"/>
        </w:rPr>
        <w:t>：何 星 仪</w:t>
      </w:r>
    </w:p>
    <w:p>
      <w:pPr>
        <w:spacing w:before="156"/>
        <w:ind w:firstLine="562"/>
        <w:rPr>
          <w:rFonts w:ascii="宋体" w:hAnsi="宋体" w:eastAsia="宋体"/>
          <w:sz w:val="28"/>
          <w:szCs w:val="28"/>
        </w:rPr>
      </w:pPr>
      <w:r>
        <w:rPr>
          <w:rFonts w:hint="eastAsia" w:ascii="宋体" w:hAnsi="宋体" w:eastAsia="宋体"/>
          <w:b/>
          <w:bCs/>
          <w:sz w:val="28"/>
          <w:szCs w:val="28"/>
        </w:rPr>
        <w:t>联系电话</w:t>
      </w:r>
      <w:r>
        <w:rPr>
          <w:rFonts w:hint="eastAsia" w:ascii="宋体" w:hAnsi="宋体" w:eastAsia="宋体"/>
          <w:sz w:val="28"/>
          <w:szCs w:val="28"/>
        </w:rPr>
        <w:t>：</w:t>
      </w:r>
      <w:r>
        <w:rPr>
          <w:rFonts w:ascii="宋体" w:hAnsi="宋体" w:eastAsia="宋体"/>
          <w:sz w:val="28"/>
          <w:szCs w:val="28"/>
        </w:rPr>
        <w:t>15281032582</w:t>
      </w:r>
    </w:p>
    <w:p>
      <w:pPr>
        <w:spacing w:before="156"/>
        <w:ind w:firstLine="562"/>
        <w:rPr>
          <w:rFonts w:eastAsiaTheme="majorEastAsia"/>
          <w:sz w:val="32"/>
          <w:szCs w:val="32"/>
        </w:rPr>
      </w:pPr>
      <w:r>
        <w:rPr>
          <w:rFonts w:hint="eastAsia" w:ascii="宋体" w:hAnsi="宋体" w:eastAsia="宋体"/>
          <w:b/>
          <w:bCs/>
          <w:sz w:val="28"/>
          <w:szCs w:val="28"/>
        </w:rPr>
        <w:t>邮箱</w:t>
      </w:r>
      <w:r>
        <w:rPr>
          <w:rFonts w:hint="eastAsia" w:ascii="宋体" w:hAnsi="宋体" w:eastAsia="宋体"/>
          <w:sz w:val="28"/>
          <w:szCs w:val="28"/>
        </w:rPr>
        <w:t>：</w:t>
      </w:r>
      <w:r>
        <w:rPr>
          <w:rFonts w:ascii="宋体" w:hAnsi="宋体" w:eastAsia="宋体"/>
          <w:sz w:val="28"/>
          <w:szCs w:val="28"/>
        </w:rPr>
        <w:t>1498714637@qq.com</w:t>
      </w:r>
    </w:p>
    <w:p>
      <w:pPr>
        <w:adjustRightInd/>
        <w:snapToGrid/>
        <w:spacing w:beforeLines="0" w:line="240" w:lineRule="auto"/>
        <w:ind w:firstLine="0" w:firstLineChars="0"/>
        <w:jc w:val="center"/>
        <w:rPr>
          <w:rFonts w:hint="eastAsia" w:ascii="仿宋_GB2312" w:hAnsi="仿宋_GB2312" w:cs="仿宋_GB2312"/>
          <w:b/>
          <w:iCs/>
          <w:sz w:val="32"/>
          <w:szCs w:val="28"/>
          <w:lang w:eastAsia="zh-CN"/>
        </w:rPr>
      </w:pPr>
      <w:r>
        <w:rPr>
          <w:rFonts w:hint="eastAsia" w:ascii="仿宋_GB2312" w:hAnsi="仿宋_GB2312" w:cs="仿宋_GB2312"/>
          <w:b/>
          <w:iCs/>
          <w:sz w:val="32"/>
          <w:szCs w:val="28"/>
          <w:lang w:eastAsia="zh-CN"/>
        </w:rPr>
        <w:t>甘孜康定新都桥220kV临时变35kV配套工程</w:t>
      </w:r>
    </w:p>
    <w:p>
      <w:pPr>
        <w:adjustRightInd/>
        <w:snapToGrid/>
        <w:spacing w:beforeLines="0" w:line="240" w:lineRule="auto"/>
        <w:ind w:firstLine="0" w:firstLineChars="0"/>
        <w:jc w:val="center"/>
        <w:rPr>
          <w:rFonts w:ascii="仿宋_GB2312" w:hAnsi="仿宋_GB2312" w:cs="仿宋_GB2312"/>
          <w:b/>
          <w:iCs/>
          <w:sz w:val="32"/>
          <w:szCs w:val="28"/>
        </w:rPr>
      </w:pPr>
      <w:r>
        <w:rPr>
          <w:rFonts w:hint="eastAsia" w:ascii="仿宋_GB2312" w:hAnsi="仿宋_GB2312" w:cs="仿宋_GB2312"/>
          <w:b/>
          <w:iCs/>
          <w:sz w:val="32"/>
          <w:szCs w:val="28"/>
        </w:rPr>
        <w:t>水土保持设施验收报告</w:t>
      </w:r>
    </w:p>
    <w:p>
      <w:pPr>
        <w:adjustRightInd/>
        <w:snapToGrid/>
        <w:spacing w:beforeLines="0" w:line="240" w:lineRule="auto"/>
        <w:ind w:firstLine="0" w:firstLineChars="0"/>
        <w:jc w:val="center"/>
        <w:rPr>
          <w:rFonts w:ascii="仿宋_GB2312" w:hAnsi="仿宋_GB2312" w:cs="仿宋_GB2312"/>
          <w:b/>
          <w:iCs/>
          <w:sz w:val="32"/>
          <w:szCs w:val="28"/>
        </w:rPr>
      </w:pPr>
      <w:r>
        <w:rPr>
          <w:rFonts w:hint="eastAsia" w:ascii="仿宋_GB2312" w:hAnsi="仿宋_GB2312" w:cs="仿宋_GB2312"/>
          <w:b/>
          <w:iCs/>
          <w:sz w:val="32"/>
          <w:szCs w:val="28"/>
        </w:rPr>
        <w:t>责任页</w:t>
      </w:r>
    </w:p>
    <w:p>
      <w:pPr>
        <w:widowControl w:val="0"/>
        <w:spacing w:beforeLines="0" w:line="500" w:lineRule="atLeast"/>
        <w:ind w:firstLine="0" w:firstLineChars="0"/>
        <w:jc w:val="center"/>
        <w:rPr>
          <w:rFonts w:ascii="仿宋_GB2312" w:hAnsi="仿宋_GB2312" w:cs="仿宋_GB2312"/>
          <w:sz w:val="32"/>
          <w:szCs w:val="32"/>
        </w:rPr>
      </w:pPr>
      <w:r>
        <w:rPr>
          <w:rFonts w:hint="eastAsia" w:ascii="仿宋_GB2312" w:hAnsi="仿宋_GB2312" w:cs="仿宋_GB2312"/>
          <w:sz w:val="32"/>
          <w:szCs w:val="32"/>
        </w:rPr>
        <w:t>（</w:t>
      </w:r>
      <w:r>
        <w:rPr>
          <w:rFonts w:hint="eastAsia" w:ascii="仿宋_GB2312" w:hAnsi="仿宋_GB2312" w:cs="仿宋_GB2312"/>
          <w:b/>
          <w:bCs/>
          <w:sz w:val="32"/>
          <w:szCs w:val="32"/>
        </w:rPr>
        <w:t>成都浚川工程设计咨询有限公司</w:t>
      </w:r>
      <w:r>
        <w:rPr>
          <w:rFonts w:hint="eastAsia" w:ascii="仿宋_GB2312" w:hAnsi="仿宋_GB2312" w:cs="仿宋_GB2312"/>
          <w:sz w:val="32"/>
          <w:szCs w:val="32"/>
        </w:rPr>
        <w:t>）</w:t>
      </w:r>
    </w:p>
    <w:p>
      <w:pPr>
        <w:widowControl w:val="0"/>
        <w:adjustRightInd/>
        <w:snapToGrid/>
        <w:spacing w:beforeLines="0" w:line="600" w:lineRule="auto"/>
        <w:ind w:firstLine="0" w:firstLineChars="0"/>
        <w:rPr>
          <w:rFonts w:eastAsia="宋体"/>
          <w:sz w:val="32"/>
          <w:szCs w:val="32"/>
        </w:rPr>
      </w:pPr>
    </w:p>
    <w:p>
      <w:pPr>
        <w:widowControl w:val="0"/>
        <w:adjustRightInd/>
        <w:snapToGrid/>
        <w:spacing w:beforeLines="0" w:line="600" w:lineRule="auto"/>
        <w:ind w:firstLine="0" w:firstLineChars="0"/>
        <w:rPr>
          <w:rFonts w:ascii="仿宋_GB2312" w:hAnsi="仿宋_GB2312" w:cs="仿宋_GB2312"/>
          <w:sz w:val="32"/>
          <w:szCs w:val="32"/>
        </w:rPr>
      </w:pPr>
      <w:r>
        <w:rPr>
          <w:rFonts w:hint="eastAsia" w:ascii="仿宋_GB2312" w:hAnsi="仿宋_GB2312" w:cs="仿宋_GB2312"/>
          <w:sz w:val="32"/>
          <w:szCs w:val="32"/>
        </w:rPr>
        <w:t>批</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准：</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高级工程师</w:t>
      </w:r>
    </w:p>
    <w:p>
      <w:pPr>
        <w:widowControl w:val="0"/>
        <w:adjustRightInd/>
        <w:snapToGrid/>
        <w:spacing w:beforeLines="0" w:line="600" w:lineRule="auto"/>
        <w:ind w:firstLine="0" w:firstLineChars="0"/>
        <w:rPr>
          <w:rFonts w:ascii="仿宋_GB2312" w:hAnsi="仿宋_GB2312" w:cs="仿宋_GB2312"/>
          <w:sz w:val="32"/>
          <w:szCs w:val="32"/>
        </w:rPr>
      </w:pPr>
      <w:r>
        <w:rPr>
          <w:rFonts w:hint="eastAsia" w:ascii="仿宋_GB2312" w:hAnsi="仿宋_GB2312" w:cs="仿宋_GB2312"/>
          <w:sz w:val="32"/>
          <w:szCs w:val="32"/>
        </w:rPr>
        <w:t>核</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定：</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高级工程师</w:t>
      </w:r>
    </w:p>
    <w:p>
      <w:pPr>
        <w:widowControl w:val="0"/>
        <w:adjustRightInd/>
        <w:snapToGrid/>
        <w:spacing w:beforeLines="0" w:line="600" w:lineRule="auto"/>
        <w:ind w:firstLine="0" w:firstLineChars="0"/>
        <w:rPr>
          <w:rFonts w:ascii="仿宋_GB2312" w:hAnsi="仿宋_GB2312" w:cs="仿宋_GB2312"/>
          <w:sz w:val="32"/>
          <w:szCs w:val="32"/>
        </w:rPr>
      </w:pPr>
      <w:r>
        <w:rPr>
          <w:rFonts w:hint="eastAsia" w:ascii="仿宋_GB2312" w:hAnsi="仿宋_GB2312" w:cs="仿宋_GB2312"/>
          <w:sz w:val="32"/>
          <w:szCs w:val="32"/>
        </w:rPr>
        <w:t>审</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查：</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工程师</w:t>
      </w:r>
    </w:p>
    <w:p>
      <w:pPr>
        <w:widowControl w:val="0"/>
        <w:adjustRightInd/>
        <w:snapToGrid/>
        <w:spacing w:beforeLines="0" w:line="600" w:lineRule="auto"/>
        <w:ind w:firstLine="0" w:firstLineChars="0"/>
        <w:rPr>
          <w:rFonts w:ascii="仿宋_GB2312" w:hAnsi="仿宋_GB2312" w:cs="仿宋_GB2312"/>
          <w:sz w:val="32"/>
          <w:szCs w:val="32"/>
        </w:rPr>
      </w:pPr>
      <w:r>
        <w:rPr>
          <w:rFonts w:hint="eastAsia" w:ascii="仿宋_GB2312" w:hAnsi="仿宋_GB2312" w:cs="仿宋_GB2312"/>
          <w:sz w:val="32"/>
          <w:szCs w:val="32"/>
        </w:rPr>
        <w:t>校</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核：</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工程师</w:t>
      </w:r>
    </w:p>
    <w:p>
      <w:pPr>
        <w:widowControl w:val="0"/>
        <w:adjustRightInd/>
        <w:snapToGrid/>
        <w:spacing w:beforeLines="0" w:line="480" w:lineRule="exact"/>
        <w:ind w:firstLine="0" w:firstLineChars="0"/>
        <w:rPr>
          <w:rFonts w:eastAsia="方正北魏楷书简体"/>
          <w:sz w:val="30"/>
          <w:szCs w:val="30"/>
        </w:rPr>
      </w:pPr>
      <w:r>
        <w:rPr>
          <w:rFonts w:hint="eastAsia" w:ascii="仿宋_GB2312" w:hAnsi="仿宋_GB2312" w:cs="仿宋_GB2312"/>
          <w:sz w:val="32"/>
          <w:szCs w:val="32"/>
        </w:rPr>
        <w:t>项目负责人：</w:t>
      </w:r>
      <w:r>
        <w:rPr>
          <w:rFonts w:hint="eastAsia" w:ascii="仿宋_GB2312" w:hAnsi="仿宋_GB2312" w:cs="仿宋_GB2312"/>
          <w:sz w:val="32"/>
          <w:szCs w:val="32"/>
          <w:vertAlign w:val="superscript"/>
        </w:rPr>
        <w:t xml:space="preserve">                                        </w:t>
      </w:r>
      <w:r>
        <w:rPr>
          <w:rFonts w:hint="eastAsia" w:ascii="仿宋_GB2312" w:hAnsi="仿宋_GB2312" w:cs="仿宋_GB2312"/>
          <w:sz w:val="32"/>
          <w:szCs w:val="32"/>
        </w:rPr>
        <w:t>高级工程师</w:t>
      </w:r>
    </w:p>
    <w:p>
      <w:pPr>
        <w:widowControl w:val="0"/>
        <w:adjustRightInd/>
        <w:snapToGrid/>
        <w:spacing w:beforeLines="0" w:line="480" w:lineRule="exact"/>
        <w:ind w:firstLine="0" w:firstLineChars="0"/>
        <w:rPr>
          <w:rFonts w:eastAsia="方正北魏楷书简体"/>
          <w:sz w:val="30"/>
          <w:szCs w:val="30"/>
        </w:rPr>
      </w:pPr>
    </w:p>
    <w:p>
      <w:pPr>
        <w:widowControl w:val="0"/>
        <w:adjustRightInd/>
        <w:snapToGrid/>
        <w:spacing w:beforeLines="0" w:line="480" w:lineRule="exact"/>
        <w:ind w:firstLine="0" w:firstLineChars="0"/>
        <w:rPr>
          <w:rFonts w:ascii="仿宋_GB2312" w:hAnsi="仿宋_GB2312" w:cs="仿宋_GB2312"/>
          <w:sz w:val="30"/>
          <w:szCs w:val="30"/>
        </w:rPr>
      </w:pPr>
      <w:r>
        <w:rPr>
          <w:rFonts w:hint="eastAsia" w:ascii="仿宋_GB2312" w:hAnsi="仿宋_GB2312" w:cs="仿宋_GB2312"/>
          <w:sz w:val="30"/>
          <w:szCs w:val="30"/>
        </w:rPr>
        <w:t>参加工作人员：</w:t>
      </w:r>
    </w:p>
    <w:p>
      <w:pPr>
        <w:widowControl w:val="0"/>
        <w:adjustRightInd/>
        <w:snapToGrid/>
        <w:spacing w:beforeLines="0" w:line="480" w:lineRule="exact"/>
        <w:ind w:firstLine="0" w:firstLineChars="0"/>
        <w:rPr>
          <w:rFonts w:eastAsia="方正北魏楷书简体"/>
          <w:sz w:val="30"/>
          <w:szCs w:val="30"/>
        </w:rPr>
      </w:pPr>
    </w:p>
    <w:tbl>
      <w:tblPr>
        <w:tblStyle w:val="32"/>
        <w:tblW w:w="852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3763"/>
        <w:gridCol w:w="1370"/>
        <w:gridCol w:w="1694"/>
        <w:gridCol w:w="169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0" w:hRule="atLeast"/>
          <w:jc w:val="center"/>
        </w:trPr>
        <w:tc>
          <w:tcPr>
            <w:tcW w:w="3763"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专题名称</w:t>
            </w:r>
          </w:p>
        </w:tc>
        <w:tc>
          <w:tcPr>
            <w:tcW w:w="1370"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职  称</w:t>
            </w:r>
          </w:p>
        </w:tc>
        <w:tc>
          <w:tcPr>
            <w:tcW w:w="1694"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专  业</w:t>
            </w:r>
          </w:p>
        </w:tc>
        <w:tc>
          <w:tcPr>
            <w:tcW w:w="1695"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签  名</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34" w:hRule="atLeast"/>
          <w:jc w:val="center"/>
        </w:trPr>
        <w:tc>
          <w:tcPr>
            <w:tcW w:w="3763"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项目及项目区概况、水土保持方案和设计情况</w:t>
            </w:r>
          </w:p>
        </w:tc>
        <w:tc>
          <w:tcPr>
            <w:tcW w:w="1370"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工程师</w:t>
            </w:r>
          </w:p>
        </w:tc>
        <w:tc>
          <w:tcPr>
            <w:tcW w:w="1694"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水土保持</w:t>
            </w:r>
          </w:p>
        </w:tc>
        <w:tc>
          <w:tcPr>
            <w:tcW w:w="1695"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34" w:hRule="atLeast"/>
          <w:jc w:val="center"/>
        </w:trPr>
        <w:tc>
          <w:tcPr>
            <w:tcW w:w="3763"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水土保持实施情况、水土保持工程质量、项目初期运行及水土保持效果</w:t>
            </w:r>
          </w:p>
        </w:tc>
        <w:tc>
          <w:tcPr>
            <w:tcW w:w="1370"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工程师</w:t>
            </w:r>
          </w:p>
        </w:tc>
        <w:tc>
          <w:tcPr>
            <w:tcW w:w="1694"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水土保持</w:t>
            </w:r>
          </w:p>
        </w:tc>
        <w:tc>
          <w:tcPr>
            <w:tcW w:w="1695"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134" w:hRule="atLeast"/>
          <w:jc w:val="center"/>
        </w:trPr>
        <w:tc>
          <w:tcPr>
            <w:tcW w:w="3763"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水土保持管理、结论、附件及附图</w:t>
            </w:r>
          </w:p>
        </w:tc>
        <w:tc>
          <w:tcPr>
            <w:tcW w:w="1370"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工程师</w:t>
            </w:r>
          </w:p>
        </w:tc>
        <w:tc>
          <w:tcPr>
            <w:tcW w:w="1694"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szCs w:val="26"/>
              </w:rPr>
            </w:pPr>
            <w:r>
              <w:rPr>
                <w:rFonts w:hint="eastAsia" w:ascii="仿宋_GB2312" w:hAnsi="仿宋_GB2312" w:cs="仿宋_GB2312"/>
                <w:sz w:val="26"/>
                <w:szCs w:val="26"/>
              </w:rPr>
              <w:t>水土保持</w:t>
            </w:r>
          </w:p>
        </w:tc>
        <w:tc>
          <w:tcPr>
            <w:tcW w:w="1695" w:type="dxa"/>
            <w:vAlign w:val="center"/>
          </w:tcPr>
          <w:p>
            <w:pPr>
              <w:keepNext w:val="0"/>
              <w:keepLines w:val="0"/>
              <w:widowControl w:val="0"/>
              <w:suppressLineNumbers w:val="0"/>
              <w:spacing w:before="0" w:beforeLines="0" w:beforeAutospacing="0" w:after="0" w:afterAutospacing="0" w:line="240" w:lineRule="auto"/>
              <w:ind w:left="0" w:right="0" w:firstLine="0" w:firstLineChars="0"/>
              <w:jc w:val="center"/>
              <w:rPr>
                <w:rFonts w:ascii="仿宋_GB2312" w:hAnsi="仿宋_GB2312" w:cs="仿宋_GB2312"/>
                <w:sz w:val="26"/>
              </w:rPr>
            </w:pPr>
          </w:p>
        </w:tc>
      </w:tr>
    </w:tbl>
    <w:p>
      <w:pPr>
        <w:widowControl w:val="0"/>
        <w:adjustRightInd/>
        <w:snapToGrid/>
        <w:spacing w:before="156"/>
        <w:ind w:firstLine="480"/>
        <w:rPr>
          <w:szCs w:val="22"/>
        </w:rPr>
      </w:pPr>
    </w:p>
    <w:p>
      <w:pPr>
        <w:spacing w:beforeLines="40" w:line="240" w:lineRule="auto"/>
        <w:ind w:firstLine="0" w:firstLineChars="0"/>
        <w:jc w:val="center"/>
        <w:rPr>
          <w:rFonts w:eastAsiaTheme="majorEastAsia"/>
          <w:b/>
          <w:bCs/>
          <w:sz w:val="32"/>
          <w:szCs w:val="32"/>
        </w:rPr>
        <w:sectPr>
          <w:headerReference r:id="rId9" w:type="default"/>
          <w:footerReference r:id="rId10"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3"/>
        <w:numPr>
          <w:ilvl w:val="0"/>
          <w:numId w:val="0"/>
        </w:numPr>
        <w:spacing w:before="156"/>
        <w:jc w:val="center"/>
        <w:rPr>
          <w:sz w:val="32"/>
          <w:szCs w:val="32"/>
        </w:rPr>
      </w:pPr>
      <w:bookmarkStart w:id="0" w:name="_Toc1637"/>
      <w:bookmarkStart w:id="1" w:name="_Toc23846"/>
      <w:bookmarkStart w:id="2" w:name="_Toc489976957"/>
      <w:bookmarkStart w:id="3" w:name="_Toc27260"/>
      <w:bookmarkStart w:id="4" w:name="_Toc515294429"/>
      <w:bookmarkStart w:id="5" w:name="_Toc484280742"/>
      <w:bookmarkStart w:id="6" w:name="_Toc12526"/>
      <w:r>
        <w:rPr>
          <w:sz w:val="32"/>
          <w:szCs w:val="32"/>
        </w:rPr>
        <w:t>前 言</w:t>
      </w:r>
      <w:bookmarkEnd w:id="0"/>
      <w:bookmarkEnd w:id="1"/>
      <w:bookmarkEnd w:id="2"/>
      <w:bookmarkEnd w:id="3"/>
      <w:bookmarkEnd w:id="4"/>
      <w:bookmarkEnd w:id="5"/>
      <w:bookmarkEnd w:id="6"/>
    </w:p>
    <w:p>
      <w:pPr>
        <w:spacing w:before="120"/>
        <w:ind w:firstLine="480"/>
        <w:jc w:val="left"/>
      </w:pPr>
      <w:r>
        <w:t>本项目</w:t>
      </w:r>
      <w:r>
        <w:rPr>
          <w:rFonts w:hint="eastAsia"/>
          <w:color w:val="000000" w:themeColor="text1"/>
        </w:rPr>
        <w:t>为扩建项目，</w:t>
      </w:r>
      <w:r>
        <w:t>位于</w:t>
      </w:r>
      <w:r>
        <w:rPr>
          <w:rFonts w:hint="eastAsia"/>
          <w:lang w:eastAsia="zh-CN"/>
        </w:rPr>
        <w:t>康定市</w:t>
      </w:r>
      <w:r>
        <w:rPr>
          <w:rFonts w:hint="eastAsia"/>
        </w:rPr>
        <w:t>瓦泽乡瓦泽村境内，站址位于500kV新都桥变电站外进站道路与站外护坡之间一块狭长空地上</w:t>
      </w:r>
      <w:r>
        <w:rPr>
          <w:rFonts w:hint="eastAsia"/>
          <w:color w:val="000000" w:themeColor="text1"/>
          <w:lang w:eastAsia="zh-CN"/>
        </w:rPr>
        <w:t>，</w:t>
      </w:r>
      <w:r>
        <w:rPr>
          <w:rFonts w:hint="eastAsia"/>
          <w:color w:val="000000" w:themeColor="text1"/>
        </w:rPr>
        <w:t>项目用地为新都桥500kv输变电工程建设用地</w:t>
      </w:r>
      <w:r>
        <w:rPr>
          <w:rFonts w:hint="eastAsia"/>
          <w:color w:val="000000" w:themeColor="text1"/>
          <w:lang w:eastAsia="zh-CN"/>
        </w:rPr>
        <w:t>。</w:t>
      </w:r>
      <w:r>
        <w:rPr>
          <w:rFonts w:hint="eastAsia"/>
          <w:color w:val="000000" w:themeColor="text1"/>
          <w:lang w:val="en-US" w:eastAsia="zh-CN"/>
        </w:rPr>
        <w:t>本项目</w:t>
      </w:r>
      <w:r>
        <w:rPr>
          <w:rFonts w:hint="eastAsia"/>
          <w:color w:val="000000" w:themeColor="text1"/>
        </w:rPr>
        <w:t>由新都桥220kv临时变35kv配电装置引接</w:t>
      </w:r>
      <w:r>
        <w:rPr>
          <w:rFonts w:hint="eastAsia"/>
          <w:color w:val="000000" w:themeColor="text1"/>
          <w:lang w:eastAsia="zh-CN"/>
        </w:rPr>
        <w:t>，</w:t>
      </w:r>
      <w:r>
        <w:rPr>
          <w:rFonts w:hint="eastAsia"/>
          <w:color w:val="000000" w:themeColor="text1"/>
          <w:lang w:val="en-US" w:eastAsia="zh-CN"/>
        </w:rPr>
        <w:t>建成后用于区域内用电补充。</w:t>
      </w:r>
      <w:r>
        <w:rPr>
          <w:rFonts w:hint="eastAsia"/>
          <w:b/>
          <w:bCs/>
          <w:color w:val="000000" w:themeColor="text1"/>
          <w:lang w:val="en-US" w:eastAsia="zh-CN"/>
        </w:rPr>
        <w:t>注</w:t>
      </w:r>
      <w:r>
        <w:rPr>
          <w:rFonts w:hint="eastAsia"/>
          <w:color w:val="000000" w:themeColor="text1"/>
          <w:lang w:val="en-US" w:eastAsia="zh-CN"/>
        </w:rPr>
        <w:t>：</w:t>
      </w:r>
      <w:r>
        <w:rPr>
          <w:rFonts w:hint="eastAsia"/>
          <w:color w:val="000000" w:themeColor="text1"/>
        </w:rPr>
        <w:t>新都桥500kv输变电工程已取得四川省水利厅关于新都桥500kv输变电工程水土保持方案报告书的批复</w:t>
      </w:r>
      <w:r>
        <w:rPr>
          <w:rFonts w:hint="eastAsia"/>
          <w:color w:val="000000" w:themeColor="text1"/>
          <w:lang w:eastAsia="zh-CN"/>
        </w:rPr>
        <w:t>，</w:t>
      </w:r>
      <w:r>
        <w:rPr>
          <w:rFonts w:hint="eastAsia"/>
          <w:color w:val="000000" w:themeColor="text1"/>
          <w:lang w:val="en-US" w:eastAsia="zh-CN"/>
        </w:rPr>
        <w:t>批复为川水函[2011]857号</w:t>
      </w:r>
      <w:r>
        <w:rPr>
          <w:rFonts w:hint="eastAsia"/>
          <w:color w:val="000000" w:themeColor="text1"/>
          <w:lang w:eastAsia="zh-CN"/>
        </w:rPr>
        <w:t>。</w:t>
      </w:r>
    </w:p>
    <w:p>
      <w:pPr>
        <w:spacing w:before="120"/>
        <w:ind w:firstLine="480"/>
        <w:jc w:val="left"/>
        <w:rPr>
          <w:color w:val="000000" w:themeColor="text1"/>
        </w:rPr>
      </w:pPr>
      <w:r>
        <w:rPr>
          <w:rFonts w:hint="default"/>
          <w:bCs/>
          <w:lang w:val="en-US" w:eastAsia="zh-CN"/>
        </w:rPr>
        <w:t>2019</w:t>
      </w:r>
      <w:r>
        <w:rPr>
          <w:rFonts w:hint="eastAsia"/>
          <w:bCs/>
          <w:lang w:val="en-US" w:eastAsia="zh-CN"/>
        </w:rPr>
        <w:t>年</w:t>
      </w:r>
      <w:r>
        <w:rPr>
          <w:rFonts w:hint="default"/>
          <w:bCs/>
          <w:lang w:val="en-US" w:eastAsia="zh-CN"/>
        </w:rPr>
        <w:t>6</w:t>
      </w:r>
      <w:r>
        <w:rPr>
          <w:rFonts w:hint="eastAsia"/>
          <w:bCs/>
          <w:lang w:val="en-US" w:eastAsia="zh-CN"/>
        </w:rPr>
        <w:t>月</w:t>
      </w:r>
      <w:r>
        <w:rPr>
          <w:rFonts w:hint="default"/>
          <w:bCs/>
          <w:lang w:val="en-US" w:eastAsia="zh-CN"/>
        </w:rPr>
        <w:t>13</w:t>
      </w:r>
      <w:r>
        <w:rPr>
          <w:rFonts w:hint="eastAsia"/>
          <w:bCs/>
          <w:lang w:val="en-US" w:eastAsia="zh-CN"/>
        </w:rPr>
        <w:t>日，国网四川省电力公司甘孜供电公司以《关于甘孜康定新都桥</w:t>
      </w:r>
      <w:r>
        <w:rPr>
          <w:rFonts w:hint="default"/>
          <w:bCs/>
          <w:lang w:val="en-US" w:eastAsia="zh-CN"/>
        </w:rPr>
        <w:t>220kV</w:t>
      </w:r>
      <w:r>
        <w:rPr>
          <w:rFonts w:hint="eastAsia"/>
          <w:bCs/>
          <w:lang w:val="en-US" w:eastAsia="zh-CN"/>
        </w:rPr>
        <w:t>临时变</w:t>
      </w:r>
      <w:r>
        <w:rPr>
          <w:rFonts w:hint="default"/>
          <w:bCs/>
          <w:lang w:val="en-US" w:eastAsia="zh-CN"/>
        </w:rPr>
        <w:t>35kV</w:t>
      </w:r>
      <w:r>
        <w:rPr>
          <w:rFonts w:hint="eastAsia"/>
          <w:bCs/>
          <w:lang w:val="en-US" w:eastAsia="zh-CN"/>
        </w:rPr>
        <w:t>配套工程可行性研究报告的批复》（甘电发展</w:t>
      </w:r>
      <w:r>
        <w:rPr>
          <w:rFonts w:hint="default"/>
          <w:bCs/>
          <w:lang w:val="en-US" w:eastAsia="zh-CN"/>
        </w:rPr>
        <w:t>[2019]37</w:t>
      </w:r>
      <w:r>
        <w:rPr>
          <w:rFonts w:hint="eastAsia"/>
          <w:bCs/>
          <w:lang w:val="en-US" w:eastAsia="zh-CN"/>
        </w:rPr>
        <w:t>号）对项目可研报告进行了批复。</w:t>
      </w:r>
      <w:r>
        <w:rPr>
          <w:bCs/>
        </w:rPr>
        <w:t>201</w:t>
      </w:r>
      <w:r>
        <w:rPr>
          <w:rFonts w:hint="eastAsia"/>
          <w:bCs/>
          <w:lang w:val="en-US" w:eastAsia="zh-CN"/>
        </w:rPr>
        <w:t>9</w:t>
      </w:r>
      <w:r>
        <w:rPr>
          <w:bCs/>
        </w:rPr>
        <w:t>年</w:t>
      </w:r>
      <w:r>
        <w:rPr>
          <w:rFonts w:hint="eastAsia"/>
          <w:bCs/>
          <w:lang w:val="en-US" w:eastAsia="zh-CN"/>
        </w:rPr>
        <w:t>12</w:t>
      </w:r>
      <w:r>
        <w:rPr>
          <w:bCs/>
        </w:rPr>
        <w:t>月，国网四川省电力公司</w:t>
      </w:r>
      <w:r>
        <w:rPr>
          <w:rFonts w:hint="eastAsia"/>
          <w:bCs/>
        </w:rPr>
        <w:t>甘孜供电公司</w:t>
      </w:r>
      <w:r>
        <w:rPr>
          <w:bCs/>
        </w:rPr>
        <w:t>委托</w:t>
      </w:r>
      <w:r>
        <w:rPr>
          <w:rFonts w:hint="eastAsia"/>
          <w:bCs/>
          <w:lang w:eastAsia="zh-CN"/>
        </w:rPr>
        <w:t>浙江中水工程技术有限公司</w:t>
      </w:r>
      <w:r>
        <w:rPr>
          <w:bCs/>
        </w:rPr>
        <w:t>编制本项目的水土保持方案报告</w:t>
      </w:r>
      <w:r>
        <w:rPr>
          <w:rFonts w:hint="eastAsia"/>
          <w:bCs/>
        </w:rPr>
        <w:t>表</w:t>
      </w:r>
      <w:r>
        <w:rPr>
          <w:bCs/>
        </w:rPr>
        <w:t>，</w:t>
      </w:r>
      <w:r>
        <w:rPr>
          <w:rFonts w:hint="eastAsia"/>
          <w:bCs/>
          <w:lang w:eastAsia="zh-CN"/>
        </w:rPr>
        <w:t>浙江中水工程技术有限公司</w:t>
      </w:r>
      <w:r>
        <w:rPr>
          <w:bCs/>
        </w:rPr>
        <w:t>于20</w:t>
      </w:r>
      <w:r>
        <w:rPr>
          <w:rFonts w:hint="eastAsia"/>
          <w:bCs/>
          <w:lang w:val="en-US" w:eastAsia="zh-CN"/>
        </w:rPr>
        <w:t>20</w:t>
      </w:r>
      <w:r>
        <w:rPr>
          <w:bCs/>
        </w:rPr>
        <w:t>年</w:t>
      </w:r>
      <w:r>
        <w:rPr>
          <w:rFonts w:hint="eastAsia"/>
          <w:bCs/>
          <w:lang w:val="en-US" w:eastAsia="zh-CN"/>
        </w:rPr>
        <w:t>1</w:t>
      </w:r>
      <w:r>
        <w:rPr>
          <w:bCs/>
        </w:rPr>
        <w:t>月编制完成</w:t>
      </w:r>
      <w:r>
        <w:t>《</w:t>
      </w:r>
      <w:r>
        <w:rPr>
          <w:rFonts w:hint="eastAsia"/>
          <w:lang w:eastAsia="zh-CN"/>
        </w:rPr>
        <w:t>甘孜康定新都桥220kV临时变35kV配套工程</w:t>
      </w:r>
      <w:r>
        <w:t>水土保持方案报告表</w:t>
      </w:r>
      <w:r>
        <w:rPr>
          <w:color w:val="000000" w:themeColor="text1"/>
        </w:rPr>
        <w:t>》。20</w:t>
      </w:r>
      <w:r>
        <w:rPr>
          <w:rFonts w:hint="eastAsia"/>
          <w:color w:val="000000" w:themeColor="text1"/>
          <w:lang w:val="en-US" w:eastAsia="zh-CN"/>
        </w:rPr>
        <w:t>20</w:t>
      </w:r>
      <w:r>
        <w:rPr>
          <w:color w:val="000000" w:themeColor="text1"/>
        </w:rPr>
        <w:t>年</w:t>
      </w:r>
      <w:r>
        <w:rPr>
          <w:rFonts w:hint="eastAsia"/>
          <w:color w:val="000000" w:themeColor="text1"/>
          <w:lang w:val="en-US" w:eastAsia="zh-CN"/>
        </w:rPr>
        <w:t>5</w:t>
      </w:r>
      <w:r>
        <w:rPr>
          <w:color w:val="000000" w:themeColor="text1"/>
        </w:rPr>
        <w:t>月，</w:t>
      </w:r>
      <w:r>
        <w:rPr>
          <w:rFonts w:hint="eastAsia"/>
          <w:color w:val="000000" w:themeColor="text1"/>
          <w:lang w:val="en-US" w:eastAsia="zh-CN"/>
        </w:rPr>
        <w:t>康定市</w:t>
      </w:r>
      <w:r>
        <w:rPr>
          <w:color w:val="000000" w:themeColor="text1"/>
        </w:rPr>
        <w:t>水利局以《</w:t>
      </w:r>
      <w:r>
        <w:rPr>
          <w:rFonts w:hint="eastAsia"/>
          <w:color w:val="000000" w:themeColor="text1"/>
          <w:lang w:val="en-US" w:eastAsia="zh-CN"/>
        </w:rPr>
        <w:t>康定市生产建设项目</w:t>
      </w:r>
      <w:r>
        <w:rPr>
          <w:color w:val="000000" w:themeColor="text1"/>
        </w:rPr>
        <w:t>水土保持方案报告表</w:t>
      </w:r>
      <w:r>
        <w:rPr>
          <w:rFonts w:hint="eastAsia"/>
          <w:color w:val="000000" w:themeColor="text1"/>
          <w:lang w:val="en-US" w:eastAsia="zh-CN"/>
        </w:rPr>
        <w:t>行政许可决定书</w:t>
      </w:r>
      <w:r>
        <w:rPr>
          <w:color w:val="000000" w:themeColor="text1"/>
        </w:rPr>
        <w:t>》（</w:t>
      </w:r>
      <w:r>
        <w:rPr>
          <w:rFonts w:hint="eastAsia"/>
          <w:color w:val="000000" w:themeColor="text1"/>
          <w:lang w:val="en-US" w:eastAsia="zh-CN"/>
        </w:rPr>
        <w:t>康水利</w:t>
      </w:r>
      <w:r>
        <w:rPr>
          <w:color w:val="000000" w:themeColor="text1"/>
        </w:rPr>
        <w:t>[20</w:t>
      </w:r>
      <w:r>
        <w:rPr>
          <w:rFonts w:hint="eastAsia"/>
          <w:color w:val="000000" w:themeColor="text1"/>
          <w:lang w:val="en-US" w:eastAsia="zh-CN"/>
        </w:rPr>
        <w:t>20</w:t>
      </w:r>
      <w:r>
        <w:rPr>
          <w:color w:val="000000" w:themeColor="text1"/>
        </w:rPr>
        <w:t>]</w:t>
      </w:r>
      <w:r>
        <w:rPr>
          <w:rFonts w:hint="eastAsia"/>
          <w:color w:val="000000" w:themeColor="text1"/>
          <w:lang w:val="en-US" w:eastAsia="zh-CN"/>
        </w:rPr>
        <w:t>102</w:t>
      </w:r>
      <w:r>
        <w:rPr>
          <w:color w:val="000000" w:themeColor="text1"/>
        </w:rPr>
        <w:t>号）对该项目水土保持方案报告表</w:t>
      </w:r>
      <w:r>
        <w:rPr>
          <w:rFonts w:hint="eastAsia"/>
          <w:color w:val="000000" w:themeColor="text1"/>
          <w:lang w:val="en-US" w:eastAsia="zh-CN"/>
        </w:rPr>
        <w:t>准予行政许可</w:t>
      </w:r>
      <w:r>
        <w:rPr>
          <w:color w:val="000000" w:themeColor="text1"/>
        </w:rPr>
        <w:t>。</w:t>
      </w:r>
    </w:p>
    <w:p>
      <w:pPr>
        <w:pStyle w:val="83"/>
        <w:adjustRightInd w:val="0"/>
        <w:snapToGrid w:val="0"/>
        <w:rPr>
          <w:color w:val="000000" w:themeColor="text1"/>
        </w:rPr>
      </w:pPr>
      <w:r>
        <w:rPr>
          <w:rFonts w:hint="eastAsia"/>
          <w:color w:val="000000" w:themeColor="text1"/>
          <w:lang w:eastAsia="zh-CN"/>
        </w:rPr>
        <w:t>甘孜康定新都桥220kV临时变35kV配套工程</w:t>
      </w:r>
      <w:r>
        <w:rPr>
          <w:color w:val="000000" w:themeColor="text1"/>
        </w:rPr>
        <w:t>位于</w:t>
      </w:r>
      <w:r>
        <w:rPr>
          <w:rFonts w:hint="eastAsia"/>
          <w:color w:val="000000" w:themeColor="text1"/>
          <w:lang w:eastAsia="zh-CN"/>
        </w:rPr>
        <w:t>康定市</w:t>
      </w:r>
      <w:r>
        <w:rPr>
          <w:rFonts w:hint="eastAsia"/>
          <w:color w:val="000000" w:themeColor="text1"/>
        </w:rPr>
        <w:t>瓦泽乡瓦泽村境内</w:t>
      </w:r>
      <w:r>
        <w:rPr>
          <w:color w:val="000000" w:themeColor="text1"/>
        </w:rPr>
        <w:t>，</w:t>
      </w:r>
      <w:r>
        <w:rPr>
          <w:rFonts w:hint="eastAsia"/>
          <w:color w:val="000000" w:themeColor="text1"/>
        </w:rPr>
        <w:t>建设</w:t>
      </w:r>
      <w:r>
        <w:rPr>
          <w:rFonts w:hint="eastAsia"/>
          <w:color w:val="000000" w:themeColor="text1"/>
          <w:lang w:val="en-US" w:eastAsia="zh-CN"/>
        </w:rPr>
        <w:t>规模及</w:t>
      </w:r>
      <w:r>
        <w:rPr>
          <w:rFonts w:hint="eastAsia"/>
          <w:color w:val="000000" w:themeColor="text1"/>
        </w:rPr>
        <w:t>内容</w:t>
      </w:r>
      <w:r>
        <w:rPr>
          <w:rFonts w:hint="eastAsia"/>
          <w:color w:val="000000" w:themeColor="text1"/>
          <w:lang w:val="en-US" w:eastAsia="zh-CN"/>
        </w:rPr>
        <w:t>主要</w:t>
      </w:r>
      <w:r>
        <w:rPr>
          <w:rFonts w:hint="eastAsia"/>
          <w:color w:val="000000" w:themeColor="text1"/>
        </w:rPr>
        <w:t>包括</w:t>
      </w:r>
      <w:r>
        <w:rPr>
          <w:rFonts w:hint="eastAsia"/>
          <w:color w:val="000000" w:themeColor="text1"/>
          <w:lang w:val="en-US" w:eastAsia="zh-CN"/>
        </w:rPr>
        <w:t>以下几部分：（1）</w:t>
      </w:r>
      <w:r>
        <w:rPr>
          <w:rFonts w:hint="eastAsia"/>
          <w:color w:val="000000" w:themeColor="text1"/>
        </w:rPr>
        <w:t>主变最终规模</w:t>
      </w:r>
      <w:r>
        <w:rPr>
          <w:rFonts w:hint="eastAsia"/>
          <w:color w:val="000000" w:themeColor="text1"/>
          <w:lang w:val="en-US" w:eastAsia="zh-CN"/>
        </w:rPr>
        <w:t>1</w:t>
      </w:r>
      <w:r>
        <w:rPr>
          <w:rFonts w:hint="eastAsia"/>
          <w:color w:val="000000" w:themeColor="text1"/>
        </w:rPr>
        <w:t>×</w:t>
      </w:r>
      <w:r>
        <w:rPr>
          <w:rFonts w:hint="eastAsia"/>
          <w:color w:val="000000" w:themeColor="text1"/>
          <w:lang w:val="en-US" w:eastAsia="zh-CN"/>
        </w:rPr>
        <w:t>150</w:t>
      </w:r>
      <w:r>
        <w:rPr>
          <w:rFonts w:hint="eastAsia"/>
          <w:color w:val="000000" w:themeColor="text1"/>
        </w:rPr>
        <w:t>MVA，本期规模</w:t>
      </w:r>
      <w:r>
        <w:rPr>
          <w:rFonts w:hint="eastAsia"/>
          <w:color w:val="000000" w:themeColor="text1"/>
          <w:lang w:val="en-US" w:eastAsia="zh-CN"/>
        </w:rPr>
        <w:t>1</w:t>
      </w:r>
      <w:r>
        <w:rPr>
          <w:rFonts w:hint="eastAsia"/>
          <w:color w:val="000000" w:themeColor="text1"/>
        </w:rPr>
        <w:t>×</w:t>
      </w:r>
      <w:r>
        <w:rPr>
          <w:rFonts w:hint="eastAsia"/>
          <w:color w:val="000000" w:themeColor="text1"/>
          <w:lang w:val="en-US" w:eastAsia="zh-CN"/>
        </w:rPr>
        <w:t>150</w:t>
      </w:r>
      <w:r>
        <w:rPr>
          <w:rFonts w:hint="eastAsia"/>
          <w:color w:val="000000" w:themeColor="text1"/>
        </w:rPr>
        <w:t>MVA，</w:t>
      </w:r>
      <w:r>
        <w:rPr>
          <w:rFonts w:hint="eastAsia"/>
          <w:color w:val="000000" w:themeColor="text1"/>
          <w:lang w:val="en-US" w:eastAsia="zh-CN"/>
        </w:rPr>
        <w:t>改造新都桥500kV变电站220kV现有备用出线间隔1个为主变供电</w:t>
      </w:r>
      <w:r>
        <w:rPr>
          <w:rFonts w:hint="eastAsia"/>
          <w:color w:val="000000" w:themeColor="text1"/>
        </w:rPr>
        <w:t>；</w:t>
      </w:r>
      <w:r>
        <w:rPr>
          <w:rFonts w:hint="eastAsia"/>
          <w:color w:val="000000" w:themeColor="text1"/>
          <w:lang w:eastAsia="zh-CN"/>
        </w:rPr>
        <w:t>（</w:t>
      </w:r>
      <w:r>
        <w:rPr>
          <w:rFonts w:hint="eastAsia"/>
          <w:color w:val="000000" w:themeColor="text1"/>
          <w:lang w:val="en-US" w:eastAsia="zh-CN"/>
        </w:rPr>
        <w:t>2</w:t>
      </w:r>
      <w:r>
        <w:rPr>
          <w:rFonts w:hint="eastAsia"/>
          <w:color w:val="000000" w:themeColor="text1"/>
          <w:lang w:eastAsia="zh-CN"/>
        </w:rPr>
        <w:t>）</w:t>
      </w:r>
      <w:r>
        <w:rPr>
          <w:rFonts w:hint="eastAsia"/>
          <w:color w:val="000000" w:themeColor="text1"/>
          <w:lang w:val="en-US" w:eastAsia="zh-CN"/>
        </w:rPr>
        <w:t>1</w:t>
      </w:r>
      <w:r>
        <w:rPr>
          <w:rFonts w:hint="eastAsia"/>
          <w:color w:val="000000" w:themeColor="text1"/>
        </w:rPr>
        <w:t>10k</w:t>
      </w:r>
      <w:r>
        <w:rPr>
          <w:rFonts w:hint="eastAsia"/>
          <w:color w:val="000000" w:themeColor="text1"/>
          <w:lang w:val="en-US" w:eastAsia="zh-CN"/>
        </w:rPr>
        <w:t>V</w:t>
      </w:r>
      <w:r>
        <w:rPr>
          <w:rFonts w:hint="eastAsia"/>
          <w:color w:val="000000" w:themeColor="text1"/>
        </w:rPr>
        <w:t>出线</w:t>
      </w:r>
      <w:r>
        <w:rPr>
          <w:rFonts w:hint="eastAsia"/>
          <w:color w:val="000000" w:themeColor="text1"/>
          <w:lang w:val="en-US" w:eastAsia="zh-CN"/>
        </w:rPr>
        <w:t>0</w:t>
      </w:r>
      <w:r>
        <w:rPr>
          <w:rFonts w:hint="eastAsia"/>
          <w:color w:val="000000" w:themeColor="text1"/>
        </w:rPr>
        <w:t>回</w:t>
      </w:r>
      <w:r>
        <w:rPr>
          <w:rFonts w:hint="eastAsia"/>
          <w:color w:val="000000" w:themeColor="text1"/>
          <w:lang w:eastAsia="zh-CN"/>
        </w:rPr>
        <w:t>，</w:t>
      </w:r>
      <w:r>
        <w:rPr>
          <w:rFonts w:hint="eastAsia"/>
          <w:color w:val="000000" w:themeColor="text1"/>
        </w:rPr>
        <w:t>本期</w:t>
      </w:r>
      <w:r>
        <w:rPr>
          <w:rFonts w:hint="eastAsia"/>
          <w:color w:val="000000" w:themeColor="text1"/>
          <w:lang w:val="en-US" w:eastAsia="zh-CN"/>
        </w:rPr>
        <w:t>35kV出线4</w:t>
      </w:r>
      <w:r>
        <w:rPr>
          <w:rFonts w:hint="eastAsia"/>
          <w:color w:val="000000" w:themeColor="text1"/>
        </w:rPr>
        <w:t>回；</w:t>
      </w:r>
      <w:r>
        <w:rPr>
          <w:rFonts w:hint="eastAsia"/>
          <w:color w:val="000000" w:themeColor="text1"/>
          <w:lang w:eastAsia="zh-CN"/>
        </w:rPr>
        <w:t>（</w:t>
      </w:r>
      <w:r>
        <w:rPr>
          <w:rFonts w:hint="eastAsia"/>
          <w:color w:val="000000" w:themeColor="text1"/>
          <w:lang w:val="en-US" w:eastAsia="zh-CN"/>
        </w:rPr>
        <w:t>3</w:t>
      </w:r>
      <w:r>
        <w:rPr>
          <w:rFonts w:hint="eastAsia"/>
          <w:color w:val="000000" w:themeColor="text1"/>
          <w:lang w:eastAsia="zh-CN"/>
        </w:rPr>
        <w:t>）</w:t>
      </w:r>
      <w:r>
        <w:rPr>
          <w:rFonts w:hint="eastAsia"/>
          <w:color w:val="000000" w:themeColor="text1"/>
          <w:lang w:val="en-US" w:eastAsia="zh-CN"/>
        </w:rPr>
        <w:t>本期主变35kV侧安装10Mvar并联电容器2组</w:t>
      </w:r>
      <w:r>
        <w:rPr>
          <w:rFonts w:hint="eastAsia"/>
          <w:color w:val="000000" w:themeColor="text1"/>
        </w:rPr>
        <w:t>。</w:t>
      </w:r>
    </w:p>
    <w:p>
      <w:pPr>
        <w:spacing w:before="120"/>
        <w:ind w:firstLine="480"/>
        <w:rPr>
          <w:color w:val="000000" w:themeColor="text1"/>
        </w:rPr>
      </w:pPr>
      <w:r>
        <w:t>本项目水土保持方案报告表为</w:t>
      </w:r>
      <w:r>
        <w:rPr>
          <w:rFonts w:hint="eastAsia"/>
          <w:lang w:val="en-US" w:eastAsia="zh-CN"/>
        </w:rPr>
        <w:t>初设</w:t>
      </w:r>
      <w:r>
        <w:t>深度，在项目实际建设过程中，经现场调查核实，本工程主体工程及水土保持措施与原方案设计相比较，水土流失防治措施布局及大体框架相同，无重大变</w:t>
      </w:r>
      <w:r>
        <w:rPr>
          <w:color w:val="000000" w:themeColor="text1"/>
        </w:rPr>
        <w:t>更。项目相关水土保持措施后续设计由相应主体设计单位</w:t>
      </w:r>
      <w:r>
        <w:rPr>
          <w:rFonts w:hint="eastAsia"/>
          <w:color w:val="000000" w:themeColor="text1"/>
          <w:szCs w:val="28"/>
          <w:lang w:eastAsia="zh-CN"/>
        </w:rPr>
        <w:t>成都城电电力工程设计有限公司</w:t>
      </w:r>
      <w:r>
        <w:rPr>
          <w:color w:val="000000" w:themeColor="text1"/>
        </w:rPr>
        <w:t>完成，水土保持监理工作由主体监理单位</w:t>
      </w:r>
      <w:r>
        <w:rPr>
          <w:rFonts w:hint="eastAsia"/>
          <w:bCs/>
          <w:color w:val="000000" w:themeColor="text1"/>
          <w:lang w:eastAsia="zh-CN"/>
        </w:rPr>
        <w:t>四川东祥工程项目管理有限责任公司</w:t>
      </w:r>
      <w:r>
        <w:rPr>
          <w:color w:val="000000" w:themeColor="text1"/>
        </w:rPr>
        <w:t>一并承担。</w:t>
      </w:r>
    </w:p>
    <w:p>
      <w:pPr>
        <w:spacing w:before="120"/>
        <w:ind w:firstLine="480"/>
      </w:pPr>
      <w:r>
        <w:rPr>
          <w:snapToGrid w:val="0"/>
          <w:kern w:val="0"/>
        </w:rPr>
        <w:t>国网四川省电力公司</w:t>
      </w:r>
      <w:r>
        <w:rPr>
          <w:rFonts w:hint="eastAsia"/>
          <w:snapToGrid w:val="0"/>
          <w:kern w:val="0"/>
        </w:rPr>
        <w:t>甘孜供电公司</w:t>
      </w:r>
      <w:r>
        <w:t>基本完成各项水土保持设施建设。根据《四川省水利厅转发水利部关于加强事中事后监管规范生产建设项目水土保持设施自主验收的通知》(川水函〔2018〕887号)</w:t>
      </w:r>
      <w:r>
        <w:rPr>
          <w:rFonts w:hint="eastAsia"/>
        </w:rPr>
        <w:t>、《水利部关于进一步深化“放管服”改革 全面加强水土保持监管的意见》（水保[2019]160号）</w:t>
      </w:r>
      <w:r>
        <w:t>及《</w:t>
      </w:r>
      <w:r>
        <w:rPr>
          <w:rFonts w:hint="eastAsia"/>
        </w:rPr>
        <w:t>生产</w:t>
      </w:r>
      <w:r>
        <w:t>建设项目水土保持设施</w:t>
      </w:r>
      <w:r>
        <w:rPr>
          <w:rFonts w:hint="eastAsia"/>
        </w:rPr>
        <w:t>自主验收规程（试行）</w:t>
      </w:r>
      <w:r>
        <w:t>》等有关法律法规的规定，</w:t>
      </w:r>
      <w:r>
        <w:rPr>
          <w:snapToGrid w:val="0"/>
          <w:kern w:val="0"/>
        </w:rPr>
        <w:t>国网四川省电力公司</w:t>
      </w:r>
      <w:r>
        <w:rPr>
          <w:rFonts w:hint="eastAsia"/>
          <w:snapToGrid w:val="0"/>
          <w:kern w:val="0"/>
        </w:rPr>
        <w:t>甘孜供电公司</w:t>
      </w:r>
      <w:r>
        <w:t>于20</w:t>
      </w:r>
      <w:r>
        <w:rPr>
          <w:rFonts w:hint="eastAsia"/>
        </w:rPr>
        <w:t>20</w:t>
      </w:r>
      <w:r>
        <w:t>年</w:t>
      </w:r>
      <w:r>
        <w:rPr>
          <w:rFonts w:hint="eastAsia"/>
        </w:rPr>
        <w:t>9</w:t>
      </w:r>
      <w:r>
        <w:t>月委托</w:t>
      </w:r>
      <w:r>
        <w:rPr>
          <w:rFonts w:hint="eastAsia"/>
        </w:rPr>
        <w:t>成都浚川工程设计咨询有限公司</w:t>
      </w:r>
      <w:r>
        <w:t>（以下简称“我公司”）开展</w:t>
      </w:r>
      <w:r>
        <w:rPr>
          <w:rFonts w:hint="eastAsia"/>
          <w:lang w:eastAsia="zh-CN"/>
        </w:rPr>
        <w:t>甘孜康定新都桥220kV临时变35kV配套工程</w:t>
      </w:r>
      <w:r>
        <w:t>的水土保持设施</w:t>
      </w:r>
      <w:r>
        <w:rPr>
          <w:rFonts w:hint="eastAsia"/>
          <w:lang w:eastAsia="zh-CN"/>
        </w:rPr>
        <w:t>完工</w:t>
      </w:r>
      <w:r>
        <w:t>验收报告编制工作。我公司接受委托后积极组织有关专业技术人员开展本项目水土保持设施验收前报告的调查和编制工作。</w:t>
      </w:r>
    </w:p>
    <w:p>
      <w:pPr>
        <w:spacing w:before="120"/>
        <w:ind w:firstLine="480"/>
      </w:pPr>
      <w:r>
        <w:t>我公司首先成立了由水土保持、水工、林学、财务经济等方面专业人员组成的项目水土保持设施验收报告编制组，在20</w:t>
      </w:r>
      <w:r>
        <w:rPr>
          <w:rFonts w:hint="eastAsia"/>
        </w:rPr>
        <w:t>20</w:t>
      </w:r>
      <w:r>
        <w:t>年</w:t>
      </w:r>
      <w:r>
        <w:rPr>
          <w:rFonts w:hint="eastAsia"/>
        </w:rPr>
        <w:t>10</w:t>
      </w:r>
      <w:r>
        <w:t>月</w:t>
      </w:r>
      <w:r>
        <w:rPr>
          <w:rFonts w:hint="eastAsia"/>
        </w:rPr>
        <w:t>下旬</w:t>
      </w:r>
      <w:r>
        <w:t>，我公司进入工程现场，并结合资料分析，对工程水土保持方案落实情况、水土保持措施及投资、水土流失防治工作及防治效果等方面进行调查，报告编制组多次对工程现场进行了实地查勘，并提出了现场整改完善建议，根据整改情况进行了复查。经现场调查复核及抽样检查，本工程的各项水土保持工程措施外观质量稳定，运行情况良好；植被生长状况良好，控制水土流失效果较为明显；项目区水土流失得到有效控制，达到水土保持设施验收要求。</w:t>
      </w:r>
    </w:p>
    <w:p>
      <w:pPr>
        <w:spacing w:before="120"/>
        <w:ind w:firstLine="480"/>
        <w:rPr>
          <w:color w:val="000000" w:themeColor="text1"/>
        </w:rPr>
      </w:pPr>
      <w:r>
        <w:rPr>
          <w:color w:val="000000" w:themeColor="text1"/>
        </w:rPr>
        <w:t>20</w:t>
      </w:r>
      <w:r>
        <w:rPr>
          <w:rFonts w:hint="eastAsia"/>
          <w:color w:val="000000" w:themeColor="text1"/>
        </w:rPr>
        <w:t>20</w:t>
      </w:r>
      <w:r>
        <w:rPr>
          <w:color w:val="000000" w:themeColor="text1"/>
        </w:rPr>
        <w:t>年</w:t>
      </w:r>
      <w:r>
        <w:rPr>
          <w:rFonts w:hint="eastAsia"/>
          <w:color w:val="000000" w:themeColor="text1"/>
        </w:rPr>
        <w:t>12</w:t>
      </w:r>
      <w:r>
        <w:rPr>
          <w:color w:val="000000" w:themeColor="text1"/>
        </w:rPr>
        <w:t>月，我公司组织相关工程、植物相关专业技术人员对水土保持措施中的防洪排导工程及植被建设工程进行了现场核查。核查的分部工程包括排洪导流设施、点片状植被共</w:t>
      </w:r>
      <w:r>
        <w:rPr>
          <w:rFonts w:hint="eastAsia"/>
          <w:color w:val="000000" w:themeColor="text1"/>
          <w:lang w:val="en-US" w:eastAsia="zh-CN"/>
        </w:rPr>
        <w:t>2</w:t>
      </w:r>
      <w:r>
        <w:rPr>
          <w:color w:val="000000" w:themeColor="text1"/>
        </w:rPr>
        <w:t>个分部工程。对工程措施如排水主要核查其外观质量及几何尺寸检查；对植物措施采用样方调查。</w:t>
      </w:r>
    </w:p>
    <w:p>
      <w:pPr>
        <w:spacing w:before="120"/>
        <w:ind w:firstLine="480"/>
        <w:jc w:val="left"/>
        <w:rPr>
          <w:color w:val="000000" w:themeColor="text1"/>
        </w:rPr>
      </w:pPr>
      <w:r>
        <w:rPr>
          <w:color w:val="000000" w:themeColor="text1"/>
        </w:rPr>
        <w:t>资料检查及现场检查结果表明：本工程抽查单元工程共</w:t>
      </w:r>
      <w:r>
        <w:rPr>
          <w:rFonts w:hint="eastAsia"/>
          <w:color w:val="000000" w:themeColor="text1"/>
          <w:lang w:val="en-US" w:eastAsia="zh-CN"/>
        </w:rPr>
        <w:t>7</w:t>
      </w:r>
      <w:r>
        <w:rPr>
          <w:color w:val="000000" w:themeColor="text1"/>
        </w:rPr>
        <w:t>个，</w:t>
      </w:r>
      <w:r>
        <w:rPr>
          <w:rFonts w:hint="eastAsia"/>
          <w:color w:val="000000" w:themeColor="text1"/>
          <w:lang w:val="en-US" w:eastAsia="zh-CN"/>
        </w:rPr>
        <w:t>7</w:t>
      </w:r>
      <w:r>
        <w:rPr>
          <w:color w:val="000000" w:themeColor="text1"/>
        </w:rPr>
        <w:t>个单元工程全部合格，合格率100%；</w:t>
      </w:r>
      <w:r>
        <w:rPr>
          <w:rFonts w:hint="eastAsia"/>
          <w:color w:val="000000" w:themeColor="text1"/>
          <w:lang w:val="en-US" w:eastAsia="zh-CN"/>
        </w:rPr>
        <w:t>2</w:t>
      </w:r>
      <w:r>
        <w:rPr>
          <w:color w:val="000000" w:themeColor="text1"/>
        </w:rPr>
        <w:t>个分部工程全部合格，合格率100%；</w:t>
      </w:r>
      <w:r>
        <w:rPr>
          <w:rFonts w:hint="eastAsia"/>
          <w:color w:val="000000" w:themeColor="text1"/>
          <w:lang w:val="en-US" w:eastAsia="zh-CN"/>
        </w:rPr>
        <w:t>2</w:t>
      </w:r>
      <w:r>
        <w:rPr>
          <w:color w:val="000000" w:themeColor="text1"/>
        </w:rPr>
        <w:t>个单位工程全部评定为合格，合格率100%。项目区各项水土保持单位工程总体合格，水土保持措施布局合理，质量符合设计要求，起到了良好的水土流失防治、绿化美化、植被恢复等多重效果，具备验收条件。</w:t>
      </w:r>
    </w:p>
    <w:p>
      <w:pPr>
        <w:spacing w:before="120"/>
        <w:ind w:firstLine="480"/>
        <w:jc w:val="left"/>
        <w:rPr>
          <w:color w:val="000000" w:themeColor="text1"/>
        </w:rPr>
      </w:pPr>
      <w:r>
        <w:rPr>
          <w:color w:val="000000" w:themeColor="text1"/>
        </w:rPr>
        <w:t>本工程于2019年</w:t>
      </w:r>
      <w:r>
        <w:rPr>
          <w:rFonts w:hint="eastAsia"/>
          <w:color w:val="000000" w:themeColor="text1"/>
        </w:rPr>
        <w:t>1</w:t>
      </w:r>
      <w:r>
        <w:rPr>
          <w:rFonts w:hint="eastAsia"/>
          <w:color w:val="000000" w:themeColor="text1"/>
          <w:lang w:val="en-US" w:eastAsia="zh-CN"/>
        </w:rPr>
        <w:t>0</w:t>
      </w:r>
      <w:r>
        <w:rPr>
          <w:color w:val="000000" w:themeColor="text1"/>
        </w:rPr>
        <w:t>月</w:t>
      </w:r>
      <w:r>
        <w:rPr>
          <w:rFonts w:hint="eastAsia"/>
          <w:color w:val="000000" w:themeColor="text1"/>
          <w:lang w:val="en-US" w:eastAsia="zh-CN"/>
        </w:rPr>
        <w:t>8</w:t>
      </w:r>
      <w:r>
        <w:rPr>
          <w:color w:val="000000" w:themeColor="text1"/>
        </w:rPr>
        <w:t>日开工，20</w:t>
      </w:r>
      <w:r>
        <w:rPr>
          <w:rFonts w:hint="eastAsia"/>
          <w:color w:val="000000" w:themeColor="text1"/>
        </w:rPr>
        <w:t>20</w:t>
      </w:r>
      <w:r>
        <w:rPr>
          <w:color w:val="000000" w:themeColor="text1"/>
        </w:rPr>
        <w:t>年</w:t>
      </w:r>
      <w:r>
        <w:rPr>
          <w:rFonts w:hint="eastAsia"/>
          <w:color w:val="000000" w:themeColor="text1"/>
          <w:lang w:val="en-US" w:eastAsia="zh-CN"/>
        </w:rPr>
        <w:t>8</w:t>
      </w:r>
      <w:r>
        <w:rPr>
          <w:color w:val="000000" w:themeColor="text1"/>
        </w:rPr>
        <w:t>月</w:t>
      </w:r>
      <w:r>
        <w:rPr>
          <w:rFonts w:hint="eastAsia"/>
          <w:color w:val="000000" w:themeColor="text1"/>
          <w:lang w:val="en-US" w:eastAsia="zh-CN"/>
        </w:rPr>
        <w:t>9</w:t>
      </w:r>
      <w:r>
        <w:rPr>
          <w:color w:val="000000" w:themeColor="text1"/>
        </w:rPr>
        <w:t>日完工，建设总工期</w:t>
      </w:r>
      <w:r>
        <w:rPr>
          <w:rFonts w:hint="eastAsia"/>
          <w:color w:val="000000" w:themeColor="text1"/>
          <w:lang w:val="en-US" w:eastAsia="zh-CN"/>
        </w:rPr>
        <w:t>10</w:t>
      </w:r>
      <w:r>
        <w:rPr>
          <w:color w:val="000000" w:themeColor="text1"/>
        </w:rPr>
        <w:t>个月。</w:t>
      </w:r>
      <w:r>
        <w:t>本项目</w:t>
      </w:r>
      <w:r>
        <w:rPr>
          <w:rFonts w:hint="eastAsia"/>
        </w:rPr>
        <w:t>实际</w:t>
      </w:r>
      <w:r>
        <w:t>施工土石方</w:t>
      </w:r>
      <w:r>
        <w:rPr>
          <w:rFonts w:hint="eastAsia"/>
          <w:lang w:val="en-US" w:eastAsia="zh-CN"/>
        </w:rPr>
        <w:t>量与批复的水土保持方案报告表基本一致，</w:t>
      </w:r>
      <w:r>
        <w:rPr>
          <w:rFonts w:hint="eastAsia"/>
        </w:rPr>
        <w:t>开挖总量</w:t>
      </w:r>
      <w:r>
        <w:rPr>
          <w:rFonts w:hint="eastAsia"/>
          <w:color w:val="000000" w:themeColor="text1"/>
          <w:lang w:val="en-US" w:eastAsia="zh-CN"/>
        </w:rPr>
        <w:t>0.30</w:t>
      </w:r>
      <w:r>
        <w:rPr>
          <w:color w:val="000000" w:themeColor="text1"/>
        </w:rPr>
        <w:t>万m³，土石方回填利用</w:t>
      </w:r>
      <w:r>
        <w:rPr>
          <w:rFonts w:hint="eastAsia"/>
          <w:color w:val="000000" w:themeColor="text1"/>
          <w:lang w:val="en-US" w:eastAsia="zh-CN"/>
        </w:rPr>
        <w:t>0.30</w:t>
      </w:r>
      <w:r>
        <w:rPr>
          <w:color w:val="000000" w:themeColor="text1"/>
        </w:rPr>
        <w:t>万 m³，</w:t>
      </w:r>
      <w:r>
        <w:rPr>
          <w:rFonts w:hint="eastAsia" w:ascii="Times New Roman" w:hAnsi="Times New Roman" w:eastAsia="仿宋_GB2312" w:cs="Times New Roman"/>
          <w:kern w:val="2"/>
          <w:sz w:val="24"/>
          <w:szCs w:val="24"/>
          <w:lang w:val="en-US" w:eastAsia="zh-CN" w:bidi="ar"/>
        </w:rPr>
        <w:t>无弃方产生，不设置弃土场</w:t>
      </w:r>
      <w:r>
        <w:rPr>
          <w:rFonts w:hint="eastAsia"/>
          <w:color w:val="000000" w:themeColor="text1"/>
        </w:rPr>
        <w:t>，</w:t>
      </w:r>
      <w:r>
        <w:rPr>
          <w:rFonts w:hint="eastAsia" w:cs="Times New Roman"/>
          <w:color w:val="000000" w:themeColor="text1"/>
        </w:rPr>
        <w:t>回填区域位于本项目场地东侧</w:t>
      </w:r>
      <w:r>
        <w:rPr>
          <w:color w:val="000000" w:themeColor="text1"/>
        </w:rPr>
        <w:t>。</w:t>
      </w:r>
      <w:r>
        <w:rPr>
          <w:rFonts w:hint="eastAsia"/>
          <w:color w:val="000000" w:themeColor="text1"/>
          <w:lang w:val="en-US" w:eastAsia="zh-CN"/>
        </w:rPr>
        <w:t>项目</w:t>
      </w:r>
      <w:r>
        <w:rPr>
          <w:color w:val="000000" w:themeColor="text1"/>
        </w:rPr>
        <w:t>实际防治责任面积为</w:t>
      </w:r>
      <w:r>
        <w:rPr>
          <w:rFonts w:hint="eastAsia"/>
          <w:color w:val="000000" w:themeColor="text1"/>
          <w:lang w:val="en-US" w:eastAsia="zh-CN"/>
        </w:rPr>
        <w:t>0.25</w:t>
      </w:r>
      <w:r>
        <w:rPr>
          <w:color w:val="000000" w:themeColor="text1"/>
        </w:rPr>
        <w:t>hm</w:t>
      </w:r>
      <w:r>
        <w:rPr>
          <w:color w:val="000000" w:themeColor="text1"/>
          <w:vertAlign w:val="superscript"/>
        </w:rPr>
        <w:t>2</w:t>
      </w:r>
      <w:r>
        <w:rPr>
          <w:color w:val="000000" w:themeColor="text1"/>
        </w:rPr>
        <w:t>，</w:t>
      </w:r>
      <w:r>
        <w:rPr>
          <w:rFonts w:hint="eastAsia"/>
          <w:color w:val="000000" w:themeColor="text1"/>
          <w:lang w:val="en-US" w:eastAsia="zh-CN"/>
        </w:rPr>
        <w:t>与</w:t>
      </w:r>
      <w:r>
        <w:rPr>
          <w:color w:val="000000" w:themeColor="text1"/>
        </w:rPr>
        <w:t>批复的水土流失防治责任范围</w:t>
      </w:r>
      <w:r>
        <w:rPr>
          <w:rFonts w:hint="eastAsia"/>
          <w:color w:val="000000" w:themeColor="text1"/>
          <w:lang w:val="en-US" w:eastAsia="zh-CN"/>
        </w:rPr>
        <w:t>一致</w:t>
      </w:r>
      <w:r>
        <w:rPr>
          <w:color w:val="000000" w:themeColor="text1"/>
        </w:rPr>
        <w:t>。</w:t>
      </w:r>
    </w:p>
    <w:p>
      <w:pPr>
        <w:spacing w:before="120"/>
        <w:ind w:firstLine="480"/>
        <w:jc w:val="left"/>
        <w:rPr>
          <w:rFonts w:hint="default"/>
          <w:color w:val="000000" w:themeColor="text1"/>
          <w:lang w:val="en-US" w:eastAsia="zh-CN"/>
        </w:rPr>
      </w:pPr>
      <w:r>
        <w:rPr>
          <w:color w:val="000000" w:themeColor="text1"/>
        </w:rPr>
        <w:t>工程实际完成水土保持投资</w:t>
      </w:r>
      <w:r>
        <w:rPr>
          <w:rFonts w:hint="eastAsia"/>
          <w:color w:val="000000" w:themeColor="text1"/>
          <w:lang w:val="en-US" w:eastAsia="zh-CN"/>
        </w:rPr>
        <w:t>23.46</w:t>
      </w:r>
      <w:r>
        <w:rPr>
          <w:color w:val="000000" w:themeColor="text1"/>
        </w:rPr>
        <w:t>万元，比批复的水土保持投资减少</w:t>
      </w:r>
      <w:r>
        <w:rPr>
          <w:rFonts w:hint="eastAsia"/>
          <w:color w:val="000000" w:themeColor="text1"/>
          <w:lang w:val="en-US" w:eastAsia="zh-CN"/>
        </w:rPr>
        <w:t>2.06</w:t>
      </w:r>
      <w:r>
        <w:rPr>
          <w:color w:val="000000" w:themeColor="text1"/>
        </w:rPr>
        <w:t>万元。</w:t>
      </w:r>
      <w:r>
        <w:rPr>
          <w:rFonts w:hint="eastAsia"/>
          <w:color w:val="000000" w:themeColor="text1"/>
          <w:lang w:val="en-US" w:eastAsia="zh-CN"/>
        </w:rPr>
        <w:t>减少的原因主要包括：①</w:t>
      </w:r>
      <w:r>
        <w:rPr>
          <w:color w:val="000000" w:themeColor="text1"/>
        </w:rPr>
        <w:t>监测费用减少</w:t>
      </w:r>
      <w:r>
        <w:rPr>
          <w:rFonts w:hint="eastAsia"/>
          <w:color w:val="000000" w:themeColor="text1"/>
          <w:lang w:val="en-US" w:eastAsia="zh-CN"/>
        </w:rPr>
        <w:t>2.50</w:t>
      </w:r>
      <w:r>
        <w:rPr>
          <w:color w:val="000000" w:themeColor="text1"/>
        </w:rPr>
        <w:t>万元，主要是根据川水函[2018]887号文，征占地小于10公顷以下的项目可不提供监测总结报告，建设单位</w:t>
      </w:r>
      <w:r>
        <w:rPr>
          <w:rFonts w:hint="eastAsia"/>
          <w:color w:val="000000" w:themeColor="text1"/>
        </w:rPr>
        <w:t>可自行</w:t>
      </w:r>
      <w:r>
        <w:rPr>
          <w:color w:val="000000" w:themeColor="text1"/>
        </w:rPr>
        <w:t>开展水土保持监测工作，</w:t>
      </w:r>
      <w:r>
        <w:rPr>
          <w:rFonts w:hint="eastAsia"/>
          <w:color w:val="000000" w:themeColor="text1"/>
        </w:rPr>
        <w:t>因此此部分费用未计列</w:t>
      </w:r>
      <w:r>
        <w:rPr>
          <w:color w:val="000000" w:themeColor="text1"/>
        </w:rPr>
        <w:t>。</w:t>
      </w:r>
      <w:r>
        <w:rPr>
          <w:rFonts w:hint="eastAsia"/>
          <w:color w:val="000000" w:themeColor="text1"/>
          <w:lang w:val="en-US" w:eastAsia="zh-CN"/>
        </w:rPr>
        <w:t>②基本预备费已计列到相关投资中，不再单独列支。</w:t>
      </w:r>
    </w:p>
    <w:p>
      <w:pPr>
        <w:spacing w:before="120"/>
        <w:ind w:firstLine="480"/>
        <w:jc w:val="left"/>
        <w:rPr>
          <w:color w:val="000000" w:themeColor="text1"/>
        </w:rPr>
      </w:pPr>
      <w:r>
        <w:rPr>
          <w:color w:val="000000" w:themeColor="text1"/>
        </w:rPr>
        <w:t>通过各项水土保持措施的实施，工程区内水土保持措施已基本形成体系，取得了较好的水土保持工作成效。截至20</w:t>
      </w:r>
      <w:r>
        <w:rPr>
          <w:rFonts w:hint="eastAsia"/>
          <w:color w:val="000000" w:themeColor="text1"/>
        </w:rPr>
        <w:t>2</w:t>
      </w:r>
      <w:r>
        <w:rPr>
          <w:rFonts w:hint="eastAsia"/>
          <w:color w:val="000000" w:themeColor="text1"/>
          <w:lang w:val="en-US" w:eastAsia="zh-CN"/>
        </w:rPr>
        <w:t>1</w:t>
      </w:r>
      <w:r>
        <w:rPr>
          <w:color w:val="000000" w:themeColor="text1"/>
        </w:rPr>
        <w:t>年</w:t>
      </w:r>
      <w:r>
        <w:rPr>
          <w:rFonts w:hint="eastAsia"/>
          <w:color w:val="000000" w:themeColor="text1"/>
          <w:lang w:val="en-US" w:eastAsia="zh-CN"/>
        </w:rPr>
        <w:t>2</w:t>
      </w:r>
      <w:r>
        <w:rPr>
          <w:color w:val="000000" w:themeColor="text1"/>
        </w:rPr>
        <w:t>月，</w:t>
      </w:r>
      <w:r>
        <w:rPr>
          <w:rFonts w:hint="eastAsia"/>
          <w:color w:val="000000" w:themeColor="text1"/>
        </w:rPr>
        <w:t>本项目水土流失总治理度</w:t>
      </w:r>
      <w:r>
        <w:rPr>
          <w:color w:val="000000" w:themeColor="text1"/>
        </w:rPr>
        <w:t>达9</w:t>
      </w:r>
      <w:r>
        <w:rPr>
          <w:rFonts w:hint="eastAsia"/>
          <w:color w:val="000000" w:themeColor="text1"/>
        </w:rPr>
        <w:t>6</w:t>
      </w:r>
      <w:r>
        <w:rPr>
          <w:color w:val="000000" w:themeColor="text1"/>
        </w:rPr>
        <w:t>%，土壤流失控制比达1.</w:t>
      </w:r>
      <w:r>
        <w:rPr>
          <w:rFonts w:hint="eastAsia"/>
          <w:color w:val="000000" w:themeColor="text1"/>
          <w:lang w:val="en-US" w:eastAsia="zh-CN"/>
        </w:rPr>
        <w:t>67</w:t>
      </w:r>
      <w:r>
        <w:rPr>
          <w:color w:val="000000" w:themeColor="text1"/>
        </w:rPr>
        <w:t>，</w:t>
      </w:r>
      <w:r>
        <w:rPr>
          <w:rFonts w:hint="eastAsia"/>
          <w:color w:val="000000" w:themeColor="text1"/>
        </w:rPr>
        <w:t>渣土防护</w:t>
      </w:r>
      <w:r>
        <w:rPr>
          <w:color w:val="000000" w:themeColor="text1"/>
        </w:rPr>
        <w:t>率达</w:t>
      </w:r>
      <w:r>
        <w:rPr>
          <w:rFonts w:hint="eastAsia"/>
          <w:color w:val="000000" w:themeColor="text1"/>
        </w:rPr>
        <w:t>9</w:t>
      </w:r>
      <w:r>
        <w:rPr>
          <w:rFonts w:hint="eastAsia"/>
          <w:color w:val="000000" w:themeColor="text1"/>
          <w:lang w:val="en-US" w:eastAsia="zh-CN"/>
        </w:rPr>
        <w:t>7.5</w:t>
      </w:r>
      <w:r>
        <w:rPr>
          <w:color w:val="000000" w:themeColor="text1"/>
        </w:rPr>
        <w:t>%，</w:t>
      </w:r>
      <w:r>
        <w:rPr>
          <w:rFonts w:hint="eastAsia"/>
          <w:color w:val="000000" w:themeColor="text1"/>
        </w:rPr>
        <w:t>表土保护率</w:t>
      </w:r>
      <w:r>
        <w:rPr>
          <w:rFonts w:hint="eastAsia"/>
          <w:color w:val="000000" w:themeColor="text1"/>
          <w:lang w:val="en-US" w:eastAsia="zh-CN"/>
        </w:rPr>
        <w:t>不评价</w:t>
      </w:r>
      <w:r>
        <w:rPr>
          <w:rFonts w:hint="eastAsia"/>
          <w:color w:val="000000" w:themeColor="text1"/>
        </w:rPr>
        <w:t>，</w:t>
      </w:r>
      <w:r>
        <w:rPr>
          <w:color w:val="000000" w:themeColor="text1"/>
        </w:rPr>
        <w:t>林草植被恢复率达9</w:t>
      </w:r>
      <w:r>
        <w:rPr>
          <w:rFonts w:hint="eastAsia"/>
          <w:color w:val="000000" w:themeColor="text1"/>
          <w:lang w:val="en-US" w:eastAsia="zh-CN"/>
        </w:rPr>
        <w:t>6.8</w:t>
      </w:r>
      <w:r>
        <w:rPr>
          <w:color w:val="000000" w:themeColor="text1"/>
        </w:rPr>
        <w:t>%，林草覆盖率达</w:t>
      </w:r>
      <w:r>
        <w:rPr>
          <w:rFonts w:hint="eastAsia"/>
          <w:color w:val="000000" w:themeColor="text1"/>
          <w:lang w:val="en-US" w:eastAsia="zh-CN"/>
        </w:rPr>
        <w:t>12</w:t>
      </w:r>
      <w:r>
        <w:rPr>
          <w:color w:val="000000" w:themeColor="text1"/>
        </w:rPr>
        <w:t>%。各项指标基本达到方案目标值和现行水土流失防治标准，水土保持设施所产生的经济效益、生态效益和社会效益显著，满足国家对开发建设项目水土保持的要求。</w:t>
      </w:r>
    </w:p>
    <w:p>
      <w:pPr>
        <w:spacing w:before="120"/>
        <w:ind w:firstLine="480"/>
        <w:jc w:val="left"/>
      </w:pPr>
      <w:r>
        <w:t>我公司经现场核查后认为，对照水土保持标准规范、规程确定的验收标准和条件，本项目已具备水土保持设施验收标准和条件。按照《四川省水利厅转发水利部关于加强事中事后监管规范生产建设项目水土保持设施自主验收的通知》（水保〔2018〕887号）</w:t>
      </w:r>
      <w:r>
        <w:rPr>
          <w:rFonts w:hint="eastAsia"/>
        </w:rPr>
        <w:t>、《水利部关于进一步深化“放管服”改革 全面加强水土保持监管的意见》（水保[2019]160号）</w:t>
      </w:r>
      <w:r>
        <w:t>相关要求，20</w:t>
      </w:r>
      <w:r>
        <w:rPr>
          <w:rFonts w:hint="eastAsia"/>
        </w:rPr>
        <w:t>21</w:t>
      </w:r>
      <w:r>
        <w:t>年</w:t>
      </w:r>
      <w:r>
        <w:rPr>
          <w:rFonts w:hint="eastAsia"/>
          <w:lang w:val="en-US" w:eastAsia="zh-CN"/>
        </w:rPr>
        <w:t>2</w:t>
      </w:r>
      <w:r>
        <w:t>月我公司编制完成了《</w:t>
      </w:r>
      <w:r>
        <w:rPr>
          <w:rFonts w:hint="eastAsia"/>
          <w:lang w:eastAsia="zh-CN"/>
        </w:rPr>
        <w:t>甘孜康定新都桥220kV临时变35kV配套工程</w:t>
      </w:r>
      <w:r>
        <w:t>水土保持设施验收报告》。</w:t>
      </w:r>
    </w:p>
    <w:p>
      <w:pPr>
        <w:spacing w:before="120"/>
        <w:ind w:firstLine="480"/>
        <w:jc w:val="left"/>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708" w:footer="708" w:gutter="0"/>
          <w:pgBorders>
            <w:top w:val="none" w:sz="0" w:space="0"/>
            <w:left w:val="none" w:sz="0" w:space="0"/>
            <w:bottom w:val="none" w:sz="0" w:space="0"/>
            <w:right w:val="none" w:sz="0" w:space="0"/>
          </w:pgBorders>
          <w:pgNumType w:fmt="upperRoman" w:start="1"/>
          <w:cols w:space="708" w:num="1"/>
          <w:docGrid w:linePitch="360" w:charSpace="0"/>
        </w:sectPr>
      </w:pPr>
      <w:r>
        <w:t>我公司在开展本工程水土保持设施验收工作过程中，得到了甘孜州水利局、</w:t>
      </w:r>
      <w:r>
        <w:rPr>
          <w:rFonts w:hint="eastAsia"/>
          <w:lang w:eastAsia="zh-CN"/>
        </w:rPr>
        <w:t>康定市</w:t>
      </w:r>
      <w:r>
        <w:rPr>
          <w:rFonts w:hint="eastAsia"/>
        </w:rPr>
        <w:t>水利</w:t>
      </w:r>
      <w:r>
        <w:t>局、国网四川省电力公司甘孜供电公司及本项目施工、设计</w:t>
      </w:r>
      <w:r>
        <w:rPr>
          <w:rFonts w:hint="eastAsia"/>
        </w:rPr>
        <w:t>、</w:t>
      </w:r>
      <w:r>
        <w:t>监理等单位的大力支持和协助，在此谨表谢意！</w:t>
      </w:r>
    </w:p>
    <w:p>
      <w:pPr>
        <w:pStyle w:val="3"/>
        <w:numPr>
          <w:ilvl w:val="0"/>
          <w:numId w:val="0"/>
        </w:numPr>
        <w:spacing w:before="0" w:after="0" w:line="240" w:lineRule="auto"/>
        <w:ind w:left="431"/>
        <w:jc w:val="center"/>
        <w:rPr>
          <w:color w:val="000000" w:themeColor="text1"/>
          <w:sz w:val="24"/>
          <w:szCs w:val="24"/>
        </w:rPr>
      </w:pPr>
      <w:bookmarkStart w:id="7" w:name="_Toc492971955"/>
      <w:bookmarkStart w:id="8" w:name="_Toc480383855"/>
      <w:bookmarkStart w:id="9" w:name="_Toc492898228"/>
      <w:bookmarkStart w:id="10" w:name="_Toc515294430"/>
      <w:bookmarkStart w:id="11" w:name="_Toc12579"/>
      <w:r>
        <w:rPr>
          <w:color w:val="000000" w:themeColor="text1"/>
          <w:sz w:val="24"/>
          <w:szCs w:val="24"/>
        </w:rPr>
        <w:t>水土保持设施</w:t>
      </w:r>
      <w:r>
        <w:rPr>
          <w:rFonts w:hint="eastAsia"/>
          <w:color w:val="000000" w:themeColor="text1"/>
          <w:sz w:val="24"/>
          <w:szCs w:val="24"/>
          <w:lang w:eastAsia="zh-CN"/>
        </w:rPr>
        <w:t>完工</w:t>
      </w:r>
      <w:r>
        <w:rPr>
          <w:color w:val="000000" w:themeColor="text1"/>
          <w:sz w:val="24"/>
          <w:szCs w:val="24"/>
        </w:rPr>
        <w:t>验收特性表</w:t>
      </w:r>
      <w:bookmarkEnd w:id="7"/>
      <w:bookmarkEnd w:id="8"/>
      <w:bookmarkEnd w:id="9"/>
      <w:bookmarkEnd w:id="10"/>
      <w:bookmarkEnd w:id="11"/>
    </w:p>
    <w:tbl>
      <w:tblPr>
        <w:tblStyle w:val="32"/>
        <w:tblW w:w="8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8"/>
        <w:gridCol w:w="516"/>
        <w:gridCol w:w="1562"/>
        <w:gridCol w:w="811"/>
        <w:gridCol w:w="17"/>
        <w:gridCol w:w="493"/>
        <w:gridCol w:w="661"/>
        <w:gridCol w:w="17"/>
        <w:gridCol w:w="740"/>
        <w:gridCol w:w="108"/>
        <w:gridCol w:w="459"/>
        <w:gridCol w:w="822"/>
        <w:gridCol w:w="1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4"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验收工程名称</w:t>
            </w:r>
          </w:p>
        </w:tc>
        <w:tc>
          <w:tcPr>
            <w:tcW w:w="2883" w:type="dxa"/>
            <w:gridSpan w:val="4"/>
            <w:tcMar>
              <w:left w:w="28" w:type="dxa"/>
              <w:right w:w="28" w:type="dxa"/>
            </w:tcMar>
            <w:vAlign w:val="center"/>
          </w:tcPr>
          <w:p>
            <w:pPr>
              <w:pStyle w:val="53"/>
              <w:keepNext w:val="0"/>
              <w:keepLines w:val="0"/>
              <w:widowControl/>
              <w:suppressLineNumbers w:val="0"/>
              <w:spacing w:before="0" w:beforeAutospacing="0" w:after="0" w:afterAutospacing="0"/>
              <w:ind w:left="0" w:right="0"/>
              <w:rPr>
                <w:rFonts w:hint="eastAsia" w:eastAsia="仿宋_GB2312" w:cs="Times New Roman"/>
                <w:color w:val="auto"/>
                <w:sz w:val="18"/>
                <w:lang w:eastAsia="zh-CN"/>
              </w:rPr>
            </w:pPr>
            <w:r>
              <w:rPr>
                <w:rFonts w:hint="eastAsia" w:cs="Times New Roman"/>
                <w:color w:val="auto"/>
                <w:sz w:val="18"/>
                <w:lang w:eastAsia="zh-CN"/>
              </w:rPr>
              <w:t>甘孜康定新都桥220kV临时变35kV配套工程</w:t>
            </w:r>
          </w:p>
        </w:tc>
        <w:tc>
          <w:tcPr>
            <w:tcW w:w="1526" w:type="dxa"/>
            <w:gridSpan w:val="4"/>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验收地点</w:t>
            </w:r>
          </w:p>
        </w:tc>
        <w:tc>
          <w:tcPr>
            <w:tcW w:w="2673" w:type="dxa"/>
            <w:gridSpan w:val="3"/>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四川省甘孜州</w:t>
            </w:r>
            <w:r>
              <w:rPr>
                <w:rFonts w:hint="eastAsia" w:cs="Times New Roman"/>
                <w:color w:val="auto"/>
                <w:sz w:val="18"/>
                <w:lang w:eastAsia="zh-CN"/>
              </w:rPr>
              <w:t>康定市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4"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验收工程性质</w:t>
            </w:r>
          </w:p>
        </w:tc>
        <w:tc>
          <w:tcPr>
            <w:tcW w:w="2883" w:type="dxa"/>
            <w:gridSpan w:val="4"/>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新建建设类</w:t>
            </w:r>
          </w:p>
        </w:tc>
        <w:tc>
          <w:tcPr>
            <w:tcW w:w="1526" w:type="dxa"/>
            <w:gridSpan w:val="4"/>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验收工程规模</w:t>
            </w:r>
          </w:p>
        </w:tc>
        <w:tc>
          <w:tcPr>
            <w:tcW w:w="2673" w:type="dxa"/>
            <w:gridSpan w:val="3"/>
            <w:tcMar>
              <w:left w:w="28" w:type="dxa"/>
              <w:right w:w="28" w:type="dxa"/>
            </w:tcMar>
            <w:vAlign w:val="center"/>
          </w:tcPr>
          <w:p>
            <w:pPr>
              <w:pStyle w:val="53"/>
              <w:keepNext w:val="0"/>
              <w:keepLines w:val="0"/>
              <w:widowControl/>
              <w:suppressLineNumbers w:val="0"/>
              <w:spacing w:before="0" w:beforeAutospacing="0" w:after="0" w:afterAutospacing="0"/>
              <w:ind w:left="0" w:right="0"/>
              <w:jc w:val="left"/>
              <w:rPr>
                <w:rFonts w:hint="default" w:eastAsia="仿宋_GB2312" w:cs="Times New Roman"/>
                <w:color w:val="auto"/>
                <w:sz w:val="18"/>
                <w:lang w:val="en-US" w:eastAsia="zh-CN"/>
              </w:rPr>
            </w:pPr>
            <w:r>
              <w:rPr>
                <w:rFonts w:hint="default" w:eastAsia="仿宋_GB2312" w:cs="Times New Roman"/>
                <w:color w:val="auto"/>
                <w:sz w:val="18"/>
                <w:lang w:val="en-US" w:eastAsia="zh-CN"/>
              </w:rPr>
              <w:t>配电装置室1栋、站内道路及进站道路、配电装置等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4"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所在流域</w:t>
            </w:r>
          </w:p>
        </w:tc>
        <w:tc>
          <w:tcPr>
            <w:tcW w:w="2883" w:type="dxa"/>
            <w:gridSpan w:val="4"/>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长江流域</w:t>
            </w:r>
          </w:p>
        </w:tc>
        <w:tc>
          <w:tcPr>
            <w:tcW w:w="1526" w:type="dxa"/>
            <w:gridSpan w:val="4"/>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水土流失防治区划分</w:t>
            </w:r>
          </w:p>
        </w:tc>
        <w:tc>
          <w:tcPr>
            <w:tcW w:w="2673" w:type="dxa"/>
            <w:gridSpan w:val="3"/>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雅砻江、</w:t>
            </w:r>
            <w:r>
              <w:rPr>
                <w:rFonts w:hint="eastAsia" w:cs="Times New Roman"/>
                <w:color w:val="auto"/>
                <w:sz w:val="18"/>
              </w:rPr>
              <w:t>大渡河中下游省级水土流失重点预防区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886" w:type="dxa"/>
            <w:gridSpan w:val="3"/>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水土保持方案批复部门、时间及文号</w:t>
            </w:r>
          </w:p>
        </w:tc>
        <w:tc>
          <w:tcPr>
            <w:tcW w:w="5520" w:type="dxa"/>
            <w:gridSpan w:val="10"/>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lang w:val="en-US" w:eastAsia="zh-CN"/>
              </w:rPr>
              <w:t>康定市</w:t>
            </w:r>
            <w:r>
              <w:rPr>
                <w:rFonts w:cs="Times New Roman"/>
                <w:color w:val="auto"/>
                <w:sz w:val="18"/>
              </w:rPr>
              <w:t>水利局，20</w:t>
            </w:r>
            <w:r>
              <w:rPr>
                <w:rFonts w:hint="eastAsia" w:cs="Times New Roman"/>
                <w:color w:val="auto"/>
                <w:sz w:val="18"/>
                <w:lang w:val="en-US" w:eastAsia="zh-CN"/>
              </w:rPr>
              <w:t>20</w:t>
            </w:r>
            <w:r>
              <w:rPr>
                <w:rFonts w:cs="Times New Roman"/>
                <w:color w:val="auto"/>
                <w:sz w:val="18"/>
              </w:rPr>
              <w:t>年</w:t>
            </w:r>
            <w:r>
              <w:rPr>
                <w:rFonts w:hint="eastAsia" w:cs="Times New Roman"/>
                <w:color w:val="auto"/>
                <w:sz w:val="18"/>
                <w:lang w:val="en-US" w:eastAsia="zh-CN"/>
              </w:rPr>
              <w:t>5</w:t>
            </w:r>
            <w:r>
              <w:rPr>
                <w:rFonts w:cs="Times New Roman"/>
                <w:color w:val="auto"/>
                <w:sz w:val="18"/>
              </w:rPr>
              <w:t>月，</w:t>
            </w:r>
            <w:r>
              <w:rPr>
                <w:rFonts w:hint="eastAsia" w:cs="Times New Roman"/>
                <w:color w:val="auto"/>
                <w:sz w:val="18"/>
                <w:lang w:val="en-US" w:eastAsia="zh-CN"/>
              </w:rPr>
              <w:t>康水利</w:t>
            </w:r>
            <w:r>
              <w:rPr>
                <w:rFonts w:cs="Times New Roman"/>
                <w:color w:val="auto"/>
                <w:sz w:val="18"/>
              </w:rPr>
              <w:t>[20</w:t>
            </w:r>
            <w:r>
              <w:rPr>
                <w:rFonts w:hint="eastAsia" w:cs="Times New Roman"/>
                <w:color w:val="auto"/>
                <w:sz w:val="18"/>
                <w:lang w:val="en-US" w:eastAsia="zh-CN"/>
              </w:rPr>
              <w:t>20</w:t>
            </w:r>
            <w:r>
              <w:rPr>
                <w:rFonts w:cs="Times New Roman"/>
                <w:color w:val="auto"/>
                <w:sz w:val="18"/>
              </w:rPr>
              <w:t>]</w:t>
            </w:r>
            <w:r>
              <w:rPr>
                <w:rFonts w:hint="eastAsia" w:cs="Times New Roman"/>
                <w:color w:val="auto"/>
                <w:sz w:val="18"/>
                <w:lang w:val="en-US" w:eastAsia="zh-CN"/>
              </w:rPr>
              <w:t>102</w:t>
            </w:r>
            <w:r>
              <w:rPr>
                <w:rFonts w:cs="Times New Roman"/>
                <w:color w:val="auto"/>
                <w:sz w:val="18"/>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886" w:type="dxa"/>
            <w:gridSpan w:val="3"/>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建设工期</w:t>
            </w:r>
          </w:p>
        </w:tc>
        <w:tc>
          <w:tcPr>
            <w:tcW w:w="5520" w:type="dxa"/>
            <w:gridSpan w:val="10"/>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2019年</w:t>
            </w:r>
            <w:r>
              <w:rPr>
                <w:rFonts w:hint="eastAsia" w:cs="Times New Roman"/>
                <w:color w:val="auto"/>
                <w:sz w:val="18"/>
                <w:lang w:val="en-US" w:eastAsia="zh-CN"/>
              </w:rPr>
              <w:t>10</w:t>
            </w:r>
            <w:r>
              <w:rPr>
                <w:rFonts w:cs="Times New Roman"/>
                <w:color w:val="auto"/>
                <w:sz w:val="18"/>
              </w:rPr>
              <w:t>月</w:t>
            </w:r>
            <w:r>
              <w:rPr>
                <w:rFonts w:hint="eastAsia" w:cs="Times New Roman"/>
                <w:color w:val="auto"/>
                <w:sz w:val="18"/>
                <w:lang w:val="en-US" w:eastAsia="zh-CN"/>
              </w:rPr>
              <w:t>8</w:t>
            </w:r>
            <w:r>
              <w:rPr>
                <w:rFonts w:cs="Times New Roman"/>
                <w:color w:val="auto"/>
                <w:sz w:val="18"/>
              </w:rPr>
              <w:t>日正式开工，20</w:t>
            </w:r>
            <w:r>
              <w:rPr>
                <w:rFonts w:hint="eastAsia" w:cs="Times New Roman"/>
                <w:color w:val="auto"/>
                <w:sz w:val="18"/>
              </w:rPr>
              <w:t>20</w:t>
            </w:r>
            <w:r>
              <w:rPr>
                <w:rFonts w:cs="Times New Roman"/>
                <w:color w:val="auto"/>
                <w:sz w:val="18"/>
              </w:rPr>
              <w:t>年</w:t>
            </w:r>
            <w:r>
              <w:rPr>
                <w:rFonts w:hint="eastAsia" w:cs="Times New Roman"/>
                <w:color w:val="auto"/>
                <w:sz w:val="18"/>
                <w:lang w:val="en-US" w:eastAsia="zh-CN"/>
              </w:rPr>
              <w:t>8</w:t>
            </w:r>
            <w:r>
              <w:rPr>
                <w:rFonts w:cs="Times New Roman"/>
                <w:color w:val="auto"/>
                <w:sz w:val="18"/>
              </w:rPr>
              <w:t>月</w:t>
            </w:r>
            <w:r>
              <w:rPr>
                <w:rFonts w:hint="eastAsia" w:cs="Times New Roman"/>
                <w:color w:val="auto"/>
                <w:sz w:val="18"/>
                <w:lang w:val="en-US" w:eastAsia="zh-CN"/>
              </w:rPr>
              <w:t>9</w:t>
            </w:r>
            <w:r>
              <w:rPr>
                <w:rFonts w:cs="Times New Roman"/>
                <w:color w:val="auto"/>
                <w:sz w:val="18"/>
              </w:rPr>
              <w:t>日</w:t>
            </w:r>
            <w:r>
              <w:rPr>
                <w:rFonts w:hint="eastAsia" w:cs="Times New Roman"/>
                <w:color w:val="auto"/>
                <w:sz w:val="18"/>
                <w:lang w:eastAsia="zh-CN"/>
              </w:rPr>
              <w:t>完工</w:t>
            </w:r>
            <w:r>
              <w:rPr>
                <w:rFonts w:cs="Times New Roman"/>
                <w:color w:val="auto"/>
                <w:sz w:val="18"/>
              </w:rPr>
              <w:t>，总工期</w:t>
            </w:r>
            <w:r>
              <w:rPr>
                <w:rFonts w:hint="eastAsia" w:cs="Times New Roman"/>
                <w:color w:val="auto"/>
                <w:sz w:val="18"/>
                <w:lang w:val="en-US" w:eastAsia="zh-CN"/>
              </w:rPr>
              <w:t>10</w:t>
            </w:r>
            <w:r>
              <w:rPr>
                <w:rFonts w:cs="Times New Roman"/>
                <w:color w:val="auto"/>
                <w:sz w:val="18"/>
              </w:rPr>
              <w:t>个月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886" w:type="dxa"/>
            <w:gridSpan w:val="3"/>
            <w:vMerge w:val="restart"/>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防治责任范围</w:t>
            </w:r>
          </w:p>
        </w:tc>
        <w:tc>
          <w:tcPr>
            <w:tcW w:w="3306" w:type="dxa"/>
            <w:gridSpan w:val="8"/>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水土保持方案确定的防治责任范围</w:t>
            </w:r>
          </w:p>
        </w:tc>
        <w:tc>
          <w:tcPr>
            <w:tcW w:w="2214"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lang w:val="en-US" w:eastAsia="zh-CN"/>
              </w:rPr>
              <w:t>0.25</w:t>
            </w:r>
            <w:r>
              <w:rPr>
                <w:rFonts w:cs="Times New Roman"/>
                <w:color w:val="auto"/>
                <w:sz w:val="18"/>
              </w:rPr>
              <w:t>hm</w:t>
            </w:r>
            <w:r>
              <w:rPr>
                <w:rFonts w:cs="Times New Roman"/>
                <w:color w:val="auto"/>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886" w:type="dxa"/>
            <w:gridSpan w:val="3"/>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3306" w:type="dxa"/>
            <w:gridSpan w:val="8"/>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验收防治责任范围</w:t>
            </w:r>
          </w:p>
        </w:tc>
        <w:tc>
          <w:tcPr>
            <w:tcW w:w="2214"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lang w:val="en-US" w:eastAsia="zh-CN"/>
              </w:rPr>
              <w:t>0.25</w:t>
            </w:r>
            <w:r>
              <w:rPr>
                <w:rFonts w:cs="Times New Roman"/>
                <w:color w:val="auto"/>
                <w:sz w:val="18"/>
              </w:rPr>
              <w:t>hm</w:t>
            </w:r>
            <w:r>
              <w:rPr>
                <w:rFonts w:cs="Times New Roman"/>
                <w:color w:val="auto"/>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886" w:type="dxa"/>
            <w:gridSpan w:val="3"/>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3306" w:type="dxa"/>
            <w:gridSpan w:val="8"/>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000000" w:themeColor="text1"/>
                <w:sz w:val="18"/>
              </w:rPr>
            </w:pPr>
            <w:r>
              <w:rPr>
                <w:rFonts w:cs="Times New Roman"/>
                <w:color w:val="000000" w:themeColor="text1"/>
                <w:sz w:val="18"/>
              </w:rPr>
              <w:t>验收后防治责任范围</w:t>
            </w:r>
          </w:p>
        </w:tc>
        <w:tc>
          <w:tcPr>
            <w:tcW w:w="2214"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000000" w:themeColor="text1"/>
                <w:sz w:val="18"/>
              </w:rPr>
            </w:pPr>
            <w:r>
              <w:rPr>
                <w:rFonts w:hint="eastAsia" w:cs="Times New Roman"/>
                <w:color w:val="000000" w:themeColor="text1"/>
                <w:sz w:val="18"/>
                <w:lang w:val="en-US" w:eastAsia="zh-CN"/>
              </w:rPr>
              <w:t>0.20</w:t>
            </w:r>
            <w:r>
              <w:rPr>
                <w:rFonts w:cs="Times New Roman"/>
                <w:color w:val="000000" w:themeColor="text1"/>
                <w:sz w:val="18"/>
              </w:rPr>
              <w:t>hm</w:t>
            </w:r>
            <w:r>
              <w:rPr>
                <w:rFonts w:cs="Times New Roman"/>
                <w:color w:val="000000" w:themeColor="text1"/>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8" w:type="dxa"/>
            <w:vMerge w:val="restart"/>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方案批复水土流失防治目标</w:t>
            </w:r>
          </w:p>
        </w:tc>
        <w:tc>
          <w:tcPr>
            <w:tcW w:w="2078"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水土流失总治理度(%)</w:t>
            </w:r>
          </w:p>
        </w:tc>
        <w:tc>
          <w:tcPr>
            <w:tcW w:w="811" w:type="dxa"/>
            <w:tcMar>
              <w:left w:w="28" w:type="dxa"/>
              <w:right w:w="28" w:type="dxa"/>
            </w:tcMar>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hint="eastAsia" w:cs="Times New Roman"/>
                <w:color w:val="auto"/>
                <w:sz w:val="18"/>
                <w:lang w:val="en-US" w:eastAsia="zh-CN"/>
              </w:rPr>
              <w:t>85</w:t>
            </w:r>
          </w:p>
        </w:tc>
        <w:tc>
          <w:tcPr>
            <w:tcW w:w="1171" w:type="dxa"/>
            <w:gridSpan w:val="3"/>
            <w:vMerge w:val="restart"/>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实际完成</w:t>
            </w:r>
          </w:p>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水土流失</w:t>
            </w:r>
          </w:p>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防治目标</w:t>
            </w:r>
          </w:p>
        </w:tc>
        <w:tc>
          <w:tcPr>
            <w:tcW w:w="2146" w:type="dxa"/>
            <w:gridSpan w:val="5"/>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水土流失总治理度(%)</w:t>
            </w:r>
          </w:p>
        </w:tc>
        <w:tc>
          <w:tcPr>
            <w:tcW w:w="1392" w:type="dxa"/>
            <w:tcMar>
              <w:left w:w="28" w:type="dxa"/>
              <w:right w:w="28" w:type="dxa"/>
            </w:tcMar>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hint="eastAsia" w:cs="Times New Roman"/>
                <w:color w:val="auto"/>
                <w:sz w:val="18"/>
              </w:rPr>
              <w:t>96</w:t>
            </w:r>
            <w:r>
              <w:rPr>
                <w:rFonts w:cs="Times New Roman"/>
                <w:color w:val="auto"/>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8" w:type="dxa"/>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2078"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土壤流失控制比</w:t>
            </w:r>
          </w:p>
        </w:tc>
        <w:tc>
          <w:tcPr>
            <w:tcW w:w="811" w:type="dxa"/>
            <w:tcMar>
              <w:left w:w="28" w:type="dxa"/>
              <w:right w:w="28" w:type="dxa"/>
            </w:tcMar>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hint="eastAsia" w:cs="Times New Roman"/>
                <w:color w:val="auto"/>
                <w:sz w:val="18"/>
                <w:lang w:val="en-US" w:eastAsia="zh-CN"/>
              </w:rPr>
              <w:t>1.0</w:t>
            </w:r>
          </w:p>
        </w:tc>
        <w:tc>
          <w:tcPr>
            <w:tcW w:w="1171" w:type="dxa"/>
            <w:gridSpan w:val="3"/>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2146" w:type="dxa"/>
            <w:gridSpan w:val="5"/>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土壤流失控制比</w:t>
            </w:r>
          </w:p>
        </w:tc>
        <w:tc>
          <w:tcPr>
            <w:tcW w:w="1392" w:type="dxa"/>
            <w:tcMar>
              <w:left w:w="28" w:type="dxa"/>
              <w:right w:w="28" w:type="dxa"/>
            </w:tcMar>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hint="eastAsia" w:cs="Times New Roman"/>
                <w:color w:val="auto"/>
                <w:sz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8" w:type="dxa"/>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2078"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rPr>
              <w:t>渣土防护率</w:t>
            </w:r>
            <w:r>
              <w:rPr>
                <w:rFonts w:cs="Times New Roman"/>
                <w:color w:val="auto"/>
                <w:sz w:val="18"/>
              </w:rPr>
              <w:t>(%)</w:t>
            </w:r>
          </w:p>
        </w:tc>
        <w:tc>
          <w:tcPr>
            <w:tcW w:w="811" w:type="dxa"/>
            <w:tcMar>
              <w:left w:w="28" w:type="dxa"/>
              <w:right w:w="28" w:type="dxa"/>
            </w:tcMar>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hint="eastAsia" w:cs="Times New Roman"/>
                <w:color w:val="auto"/>
                <w:sz w:val="18"/>
                <w:lang w:val="en-US" w:eastAsia="zh-CN"/>
              </w:rPr>
              <w:t>87</w:t>
            </w:r>
          </w:p>
        </w:tc>
        <w:tc>
          <w:tcPr>
            <w:tcW w:w="1171" w:type="dxa"/>
            <w:gridSpan w:val="3"/>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2146" w:type="dxa"/>
            <w:gridSpan w:val="5"/>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rPr>
              <w:t>渣土防护率</w:t>
            </w:r>
            <w:r>
              <w:rPr>
                <w:rFonts w:cs="Times New Roman"/>
                <w:color w:val="auto"/>
                <w:sz w:val="18"/>
              </w:rPr>
              <w:t>(%)</w:t>
            </w:r>
          </w:p>
        </w:tc>
        <w:tc>
          <w:tcPr>
            <w:tcW w:w="1392" w:type="dxa"/>
            <w:tcMar>
              <w:left w:w="28" w:type="dxa"/>
              <w:right w:w="28" w:type="dxa"/>
            </w:tcMar>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hint="eastAsia" w:cs="Times New Roman"/>
                <w:color w:val="auto"/>
                <w:sz w:val="18"/>
                <w:lang w:val="en-US" w:eastAsia="zh-CN"/>
              </w:rPr>
              <w:t>97.5</w:t>
            </w:r>
            <w:r>
              <w:rPr>
                <w:rFonts w:hint="eastAsia" w:cs="Times New Roman"/>
                <w:color w:val="auto"/>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8" w:type="dxa"/>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2078"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rPr>
              <w:t>表土保护率</w:t>
            </w:r>
            <w:r>
              <w:rPr>
                <w:rFonts w:cs="Times New Roman"/>
                <w:color w:val="auto"/>
                <w:sz w:val="18"/>
              </w:rPr>
              <w:t>(%)</w:t>
            </w:r>
          </w:p>
        </w:tc>
        <w:tc>
          <w:tcPr>
            <w:tcW w:w="811" w:type="dxa"/>
            <w:tcMar>
              <w:left w:w="28" w:type="dxa"/>
              <w:right w:w="28" w:type="dxa"/>
            </w:tcMar>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hint="eastAsia" w:cs="Times New Roman"/>
                <w:color w:val="auto"/>
                <w:sz w:val="18"/>
                <w:lang w:val="en-US" w:eastAsia="zh-CN"/>
              </w:rPr>
              <w:t>/</w:t>
            </w:r>
          </w:p>
        </w:tc>
        <w:tc>
          <w:tcPr>
            <w:tcW w:w="1171" w:type="dxa"/>
            <w:gridSpan w:val="3"/>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2146" w:type="dxa"/>
            <w:gridSpan w:val="5"/>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rPr>
              <w:t>表土保护率</w:t>
            </w:r>
            <w:r>
              <w:rPr>
                <w:rFonts w:cs="Times New Roman"/>
                <w:color w:val="auto"/>
                <w:sz w:val="18"/>
              </w:rPr>
              <w:t>(%)</w:t>
            </w:r>
          </w:p>
        </w:tc>
        <w:tc>
          <w:tcPr>
            <w:tcW w:w="1392" w:type="dxa"/>
            <w:tcMar>
              <w:left w:w="28" w:type="dxa"/>
              <w:right w:w="28" w:type="dxa"/>
            </w:tcMar>
            <w:vAlign w:val="center"/>
          </w:tcPr>
          <w:p>
            <w:pPr>
              <w:pStyle w:val="53"/>
              <w:keepNext w:val="0"/>
              <w:keepLines w:val="0"/>
              <w:widowControl/>
              <w:suppressLineNumbers w:val="0"/>
              <w:spacing w:before="0" w:beforeAutospacing="0" w:after="0" w:afterAutospacing="0"/>
              <w:ind w:left="0" w:right="0" w:firstLine="0" w:firstLineChars="0"/>
              <w:rPr>
                <w:rFonts w:hint="eastAsia" w:eastAsia="仿宋_GB2312" w:cs="Times New Roman"/>
                <w:color w:val="auto"/>
                <w:sz w:val="18"/>
                <w:lang w:eastAsia="zh-CN"/>
              </w:rPr>
            </w:pPr>
            <w:r>
              <w:rPr>
                <w:rFonts w:hint="eastAsia" w:cs="Times New Roman"/>
                <w:color w:val="auto"/>
                <w:sz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8" w:type="dxa"/>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2078"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林草植被恢复率(%)</w:t>
            </w:r>
          </w:p>
        </w:tc>
        <w:tc>
          <w:tcPr>
            <w:tcW w:w="811" w:type="dxa"/>
            <w:tcMar>
              <w:left w:w="28" w:type="dxa"/>
              <w:right w:w="28" w:type="dxa"/>
            </w:tcMar>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hint="eastAsia" w:cs="Times New Roman"/>
                <w:color w:val="auto"/>
                <w:sz w:val="18"/>
                <w:lang w:val="en-US" w:eastAsia="zh-CN"/>
              </w:rPr>
              <w:t>95</w:t>
            </w:r>
          </w:p>
        </w:tc>
        <w:tc>
          <w:tcPr>
            <w:tcW w:w="1171" w:type="dxa"/>
            <w:gridSpan w:val="3"/>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2146" w:type="dxa"/>
            <w:gridSpan w:val="5"/>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林草植被恢复率(%)</w:t>
            </w:r>
          </w:p>
        </w:tc>
        <w:tc>
          <w:tcPr>
            <w:tcW w:w="1392" w:type="dxa"/>
            <w:tcMar>
              <w:left w:w="28" w:type="dxa"/>
              <w:right w:w="28" w:type="dxa"/>
            </w:tcMar>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hint="eastAsia" w:cs="Times New Roman"/>
                <w:color w:val="auto"/>
                <w:sz w:val="18"/>
              </w:rPr>
              <w:t>9</w:t>
            </w:r>
            <w:r>
              <w:rPr>
                <w:rFonts w:hint="eastAsia" w:cs="Times New Roman"/>
                <w:color w:val="auto"/>
                <w:sz w:val="18"/>
                <w:lang w:val="en-US" w:eastAsia="zh-CN"/>
              </w:rPr>
              <w:t>6.8</w:t>
            </w:r>
            <w:r>
              <w:rPr>
                <w:rFonts w:cs="Times New Roman"/>
                <w:color w:val="auto"/>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808" w:type="dxa"/>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2078"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林草覆盖率(%)</w:t>
            </w:r>
          </w:p>
        </w:tc>
        <w:tc>
          <w:tcPr>
            <w:tcW w:w="811" w:type="dxa"/>
            <w:tcMar>
              <w:left w:w="28" w:type="dxa"/>
              <w:right w:w="28" w:type="dxa"/>
            </w:tcMar>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hint="eastAsia" w:cs="Times New Roman"/>
                <w:color w:val="auto"/>
                <w:sz w:val="18"/>
                <w:lang w:val="en-US" w:eastAsia="zh-CN"/>
              </w:rPr>
              <w:t>9</w:t>
            </w:r>
          </w:p>
        </w:tc>
        <w:tc>
          <w:tcPr>
            <w:tcW w:w="1171" w:type="dxa"/>
            <w:gridSpan w:val="3"/>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2146" w:type="dxa"/>
            <w:gridSpan w:val="5"/>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林草覆盖率(%)</w:t>
            </w:r>
          </w:p>
        </w:tc>
        <w:tc>
          <w:tcPr>
            <w:tcW w:w="1392" w:type="dxa"/>
            <w:tcMar>
              <w:left w:w="28" w:type="dxa"/>
              <w:right w:w="28" w:type="dxa"/>
            </w:tcMar>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hint="eastAsia" w:cs="Times New Roman"/>
                <w:color w:val="auto"/>
                <w:sz w:val="18"/>
                <w:lang w:val="en-US" w:eastAsia="zh-CN"/>
              </w:rPr>
              <w:t>12</w:t>
            </w:r>
            <w:r>
              <w:rPr>
                <w:rFonts w:cs="Times New Roman"/>
                <w:color w:val="auto"/>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4" w:type="dxa"/>
            <w:gridSpan w:val="2"/>
            <w:vMerge w:val="restart"/>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主要</w:t>
            </w:r>
          </w:p>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工程量</w:t>
            </w:r>
          </w:p>
        </w:tc>
        <w:tc>
          <w:tcPr>
            <w:tcW w:w="1562" w:type="dxa"/>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工程措施</w:t>
            </w:r>
          </w:p>
        </w:tc>
        <w:tc>
          <w:tcPr>
            <w:tcW w:w="5520" w:type="dxa"/>
            <w:gridSpan w:val="10"/>
            <w:tcMar>
              <w:left w:w="28" w:type="dxa"/>
              <w:right w:w="28" w:type="dxa"/>
            </w:tcMar>
            <w:vAlign w:val="center"/>
          </w:tcPr>
          <w:p>
            <w:pPr>
              <w:pStyle w:val="53"/>
              <w:keepNext w:val="0"/>
              <w:keepLines w:val="0"/>
              <w:widowControl/>
              <w:suppressLineNumbers w:val="0"/>
              <w:spacing w:before="0" w:beforeAutospacing="0" w:after="0" w:afterAutospacing="0"/>
              <w:ind w:left="0" w:right="0"/>
              <w:rPr>
                <w:rFonts w:hint="eastAsia" w:eastAsia="仿宋_GB2312" w:cs="Times New Roman"/>
                <w:color w:val="auto"/>
                <w:sz w:val="18"/>
                <w:lang w:eastAsia="zh-CN"/>
              </w:rPr>
            </w:pPr>
            <w:r>
              <w:rPr>
                <w:rFonts w:cs="Times New Roman"/>
                <w:color w:val="auto"/>
                <w:sz w:val="18"/>
              </w:rPr>
              <w:t>排水沟</w:t>
            </w:r>
            <w:r>
              <w:rPr>
                <w:rFonts w:hint="eastAsia" w:cs="Times New Roman"/>
                <w:color w:val="auto"/>
                <w:sz w:val="18"/>
                <w:lang w:val="en-US" w:eastAsia="zh-CN"/>
              </w:rPr>
              <w:t>250</w:t>
            </w:r>
            <w:r>
              <w:rPr>
                <w:rFonts w:cs="Times New Roman"/>
                <w:color w:val="auto"/>
                <w:sz w:val="18"/>
              </w:rPr>
              <w:t>m、</w:t>
            </w:r>
            <w:r>
              <w:rPr>
                <w:rFonts w:hint="eastAsia" w:cs="Times New Roman"/>
                <w:color w:val="auto"/>
                <w:sz w:val="18"/>
                <w:lang w:val="en-US" w:eastAsia="zh-CN"/>
              </w:rPr>
              <w:t>排水管、涵152.57m</w:t>
            </w:r>
            <w:r>
              <w:rPr>
                <w:rFonts w:cs="Times New Roman"/>
                <w:color w:val="auto"/>
                <w:sz w:val="18"/>
              </w:rPr>
              <w:t>、</w:t>
            </w:r>
            <w:r>
              <w:rPr>
                <w:rFonts w:hint="eastAsia" w:cs="Times New Roman"/>
                <w:color w:val="auto"/>
                <w:sz w:val="18"/>
                <w:lang w:val="en-US" w:eastAsia="zh-CN"/>
              </w:rPr>
              <w:t>碎石铺盖725m</w:t>
            </w:r>
            <w:r>
              <w:rPr>
                <w:rFonts w:hint="eastAsia" w:cs="Times New Roman"/>
                <w:color w:val="auto"/>
                <w:sz w:val="18"/>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4" w:type="dxa"/>
            <w:gridSpan w:val="2"/>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1562" w:type="dxa"/>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植物措施</w:t>
            </w:r>
          </w:p>
        </w:tc>
        <w:tc>
          <w:tcPr>
            <w:tcW w:w="5520" w:type="dxa"/>
            <w:gridSpan w:val="10"/>
            <w:tcMar>
              <w:left w:w="28" w:type="dxa"/>
              <w:right w:w="28" w:type="dxa"/>
            </w:tcMar>
            <w:vAlign w:val="center"/>
          </w:tcPr>
          <w:p>
            <w:pPr>
              <w:pStyle w:val="53"/>
              <w:keepNext w:val="0"/>
              <w:keepLines w:val="0"/>
              <w:widowControl/>
              <w:suppressLineNumbers w:val="0"/>
              <w:spacing w:before="0" w:beforeAutospacing="0" w:after="0" w:afterAutospacing="0"/>
              <w:ind w:left="0" w:right="0"/>
              <w:rPr>
                <w:rFonts w:hint="default" w:eastAsia="仿宋_GB2312" w:cs="Times New Roman"/>
                <w:color w:val="auto"/>
                <w:sz w:val="18"/>
                <w:lang w:val="en-US" w:eastAsia="zh-CN"/>
              </w:rPr>
            </w:pPr>
            <w:r>
              <w:rPr>
                <w:rFonts w:cs="Times New Roman"/>
                <w:color w:val="auto"/>
                <w:sz w:val="18"/>
              </w:rPr>
              <w:t>撒草</w:t>
            </w:r>
            <w:r>
              <w:rPr>
                <w:rFonts w:hint="eastAsia" w:cs="Times New Roman"/>
                <w:color w:val="auto"/>
                <w:sz w:val="18"/>
                <w:lang w:val="en-US" w:eastAsia="zh-CN"/>
              </w:rPr>
              <w:t>植草255</w:t>
            </w:r>
            <w:r>
              <w:rPr>
                <w:rFonts w:cs="Times New Roman"/>
                <w:color w:val="auto"/>
                <w:sz w:val="18"/>
              </w:rPr>
              <w:t>m</w:t>
            </w:r>
            <w:r>
              <w:rPr>
                <w:rFonts w:cs="Times New Roman"/>
                <w:color w:val="auto"/>
                <w:sz w:val="18"/>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4" w:type="dxa"/>
            <w:gridSpan w:val="2"/>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1562" w:type="dxa"/>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临时措施</w:t>
            </w:r>
          </w:p>
        </w:tc>
        <w:tc>
          <w:tcPr>
            <w:tcW w:w="5520" w:type="dxa"/>
            <w:gridSpan w:val="10"/>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防雨布</w:t>
            </w:r>
            <w:r>
              <w:rPr>
                <w:rFonts w:hint="eastAsia" w:cs="Times New Roman"/>
                <w:color w:val="auto"/>
                <w:sz w:val="18"/>
                <w:lang w:val="en-US" w:eastAsia="zh-CN"/>
              </w:rPr>
              <w:t>150</w:t>
            </w:r>
            <w:r>
              <w:rPr>
                <w:rFonts w:cs="Times New Roman"/>
                <w:color w:val="auto"/>
                <w:sz w:val="18"/>
              </w:rPr>
              <w:t>m</w:t>
            </w:r>
            <w:r>
              <w:rPr>
                <w:rFonts w:cs="Times New Roman"/>
                <w:color w:val="auto"/>
                <w:sz w:val="18"/>
                <w:vertAlign w:val="superscript"/>
              </w:rPr>
              <w:t>2</w:t>
            </w:r>
          </w:p>
        </w:tc>
      </w:tr>
      <w:tr>
        <w:tblPrEx>
          <w:tblCellMar>
            <w:top w:w="0" w:type="dxa"/>
            <w:left w:w="0" w:type="dxa"/>
            <w:bottom w:w="0" w:type="dxa"/>
            <w:right w:w="0" w:type="dxa"/>
          </w:tblCellMar>
        </w:tblPrEx>
        <w:trPr>
          <w:trHeight w:val="340" w:hRule="atLeast"/>
          <w:jc w:val="center"/>
        </w:trPr>
        <w:tc>
          <w:tcPr>
            <w:tcW w:w="1324" w:type="dxa"/>
            <w:gridSpan w:val="2"/>
            <w:vMerge w:val="restart"/>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工程</w:t>
            </w:r>
          </w:p>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质量评定</w:t>
            </w:r>
          </w:p>
        </w:tc>
        <w:tc>
          <w:tcPr>
            <w:tcW w:w="1562" w:type="dxa"/>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评定项目</w:t>
            </w:r>
          </w:p>
        </w:tc>
        <w:tc>
          <w:tcPr>
            <w:tcW w:w="2739" w:type="dxa"/>
            <w:gridSpan w:val="6"/>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总体质量评定</w:t>
            </w:r>
          </w:p>
        </w:tc>
        <w:tc>
          <w:tcPr>
            <w:tcW w:w="2781" w:type="dxa"/>
            <w:gridSpan w:val="4"/>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外观质量评定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4" w:type="dxa"/>
            <w:gridSpan w:val="2"/>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1562" w:type="dxa"/>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工程措施</w:t>
            </w:r>
          </w:p>
        </w:tc>
        <w:tc>
          <w:tcPr>
            <w:tcW w:w="2739" w:type="dxa"/>
            <w:gridSpan w:val="6"/>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合格</w:t>
            </w:r>
          </w:p>
        </w:tc>
        <w:tc>
          <w:tcPr>
            <w:tcW w:w="2781" w:type="dxa"/>
            <w:gridSpan w:val="4"/>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4" w:type="dxa"/>
            <w:gridSpan w:val="2"/>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1562" w:type="dxa"/>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植物措施</w:t>
            </w:r>
          </w:p>
        </w:tc>
        <w:tc>
          <w:tcPr>
            <w:tcW w:w="2739" w:type="dxa"/>
            <w:gridSpan w:val="6"/>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合格</w:t>
            </w:r>
          </w:p>
        </w:tc>
        <w:tc>
          <w:tcPr>
            <w:tcW w:w="2781" w:type="dxa"/>
            <w:gridSpan w:val="4"/>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4" w:type="dxa"/>
            <w:gridSpan w:val="2"/>
            <w:vMerge w:val="restart"/>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水土保持</w:t>
            </w:r>
          </w:p>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投资</w:t>
            </w:r>
          </w:p>
        </w:tc>
        <w:tc>
          <w:tcPr>
            <w:tcW w:w="1562" w:type="dxa"/>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水土保持方案投资</w:t>
            </w:r>
          </w:p>
        </w:tc>
        <w:tc>
          <w:tcPr>
            <w:tcW w:w="5520" w:type="dxa"/>
            <w:gridSpan w:val="10"/>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总投资</w:t>
            </w:r>
            <w:r>
              <w:rPr>
                <w:rFonts w:hint="eastAsia" w:cs="Times New Roman"/>
                <w:color w:val="auto"/>
                <w:sz w:val="18"/>
                <w:lang w:val="en-US" w:eastAsia="zh-CN"/>
              </w:rPr>
              <w:t>25.52</w:t>
            </w:r>
            <w:r>
              <w:rPr>
                <w:rFonts w:cs="Times New Roman"/>
                <w:color w:val="auto"/>
                <w:sz w:val="18"/>
              </w:rPr>
              <w:t>万元（主体</w:t>
            </w:r>
            <w:r>
              <w:rPr>
                <w:rFonts w:hint="eastAsia" w:cs="Times New Roman"/>
                <w:color w:val="auto"/>
                <w:sz w:val="18"/>
              </w:rPr>
              <w:t>设计</w:t>
            </w:r>
            <w:r>
              <w:rPr>
                <w:rFonts w:hint="eastAsia" w:cs="Times New Roman"/>
                <w:color w:val="auto"/>
                <w:sz w:val="18"/>
                <w:lang w:val="en-US" w:eastAsia="zh-CN"/>
              </w:rPr>
              <w:t>15.80</w:t>
            </w:r>
            <w:r>
              <w:rPr>
                <w:rFonts w:cs="Times New Roman"/>
                <w:color w:val="auto"/>
                <w:sz w:val="18"/>
              </w:rPr>
              <w:t>万元，方案新增</w:t>
            </w:r>
            <w:r>
              <w:rPr>
                <w:rFonts w:hint="eastAsia" w:cs="Times New Roman"/>
                <w:color w:val="auto"/>
                <w:sz w:val="18"/>
                <w:lang w:val="en-US" w:eastAsia="zh-CN"/>
              </w:rPr>
              <w:t>9.72</w:t>
            </w:r>
            <w:r>
              <w:rPr>
                <w:rFonts w:cs="Times New Roman"/>
                <w:color w:val="auto"/>
                <w:sz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4" w:type="dxa"/>
            <w:gridSpan w:val="2"/>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1562" w:type="dxa"/>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实际投资</w:t>
            </w:r>
          </w:p>
        </w:tc>
        <w:tc>
          <w:tcPr>
            <w:tcW w:w="5520" w:type="dxa"/>
            <w:gridSpan w:val="10"/>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投资</w:t>
            </w:r>
            <w:r>
              <w:rPr>
                <w:rFonts w:hint="eastAsia" w:cs="Times New Roman"/>
                <w:color w:val="auto"/>
                <w:sz w:val="18"/>
                <w:lang w:val="en-US" w:eastAsia="zh-CN"/>
              </w:rPr>
              <w:t>23.46</w:t>
            </w:r>
            <w:r>
              <w:rPr>
                <w:rFonts w:cs="Times New Roman"/>
                <w:color w:val="000000" w:themeColor="text1"/>
                <w:sz w:val="18"/>
              </w:rPr>
              <w:t>万元（主体</w:t>
            </w:r>
            <w:r>
              <w:rPr>
                <w:rFonts w:hint="eastAsia" w:cs="Times New Roman"/>
                <w:color w:val="000000" w:themeColor="text1"/>
                <w:sz w:val="18"/>
              </w:rPr>
              <w:t>设计</w:t>
            </w:r>
            <w:r>
              <w:rPr>
                <w:rFonts w:hint="eastAsia" w:cs="Times New Roman"/>
                <w:color w:val="000000" w:themeColor="text1"/>
                <w:sz w:val="18"/>
                <w:lang w:val="en-US" w:eastAsia="zh-CN"/>
              </w:rPr>
              <w:t>16.02</w:t>
            </w:r>
            <w:r>
              <w:rPr>
                <w:rFonts w:cs="Times New Roman"/>
                <w:color w:val="000000" w:themeColor="text1"/>
                <w:sz w:val="18"/>
              </w:rPr>
              <w:t>万元，方案新增</w:t>
            </w:r>
            <w:r>
              <w:rPr>
                <w:rFonts w:hint="eastAsia" w:cs="Times New Roman"/>
                <w:color w:val="000000" w:themeColor="text1"/>
                <w:sz w:val="18"/>
                <w:lang w:val="en-US" w:eastAsia="zh-CN"/>
              </w:rPr>
              <w:t>7.44</w:t>
            </w:r>
            <w:r>
              <w:rPr>
                <w:rFonts w:cs="Times New Roman"/>
                <w:color w:val="000000" w:themeColor="text1"/>
                <w:sz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4" w:type="dxa"/>
            <w:gridSpan w:val="2"/>
            <w:vMerge w:val="continue"/>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1562" w:type="dxa"/>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投资变化原因</w:t>
            </w:r>
          </w:p>
        </w:tc>
        <w:tc>
          <w:tcPr>
            <w:tcW w:w="5520" w:type="dxa"/>
            <w:gridSpan w:val="10"/>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rPr>
              <w:t>本项目</w:t>
            </w:r>
            <w:r>
              <w:rPr>
                <w:rFonts w:cs="Times New Roman"/>
                <w:color w:val="auto"/>
                <w:sz w:val="18"/>
              </w:rPr>
              <w:t>水土保持监测</w:t>
            </w:r>
            <w:r>
              <w:rPr>
                <w:rFonts w:hint="eastAsia" w:cs="Times New Roman"/>
                <w:color w:val="auto"/>
                <w:sz w:val="18"/>
                <w:lang w:val="en-US" w:eastAsia="zh-CN"/>
              </w:rPr>
              <w:t>费用</w:t>
            </w:r>
            <w:r>
              <w:rPr>
                <w:rFonts w:hint="eastAsia" w:cs="Times New Roman"/>
                <w:color w:val="auto"/>
                <w:sz w:val="18"/>
              </w:rPr>
              <w:t>不再计列</w:t>
            </w:r>
            <w:r>
              <w:rPr>
                <w:rFonts w:hint="eastAsia" w:cs="Times New Roman"/>
                <w:color w:val="auto"/>
                <w:sz w:val="18"/>
                <w:lang w:eastAsia="zh-CN"/>
              </w:rPr>
              <w:t>，</w:t>
            </w:r>
            <w:r>
              <w:rPr>
                <w:rFonts w:hint="eastAsia" w:cs="Times New Roman"/>
                <w:color w:val="auto"/>
                <w:sz w:val="18"/>
                <w:lang w:val="en-US" w:eastAsia="zh-CN"/>
              </w:rPr>
              <w:t>独立费用按实际计列</w:t>
            </w:r>
            <w:r>
              <w:rPr>
                <w:rFonts w:hint="eastAsia" w:cs="Times New Roman"/>
                <w:color w:val="auto"/>
                <w:sz w:val="18"/>
              </w:rPr>
              <w:t>，</w:t>
            </w:r>
            <w:r>
              <w:rPr>
                <w:rFonts w:hint="eastAsia" w:cs="Times New Roman"/>
                <w:color w:val="auto"/>
                <w:sz w:val="18"/>
                <w:lang w:val="en-US" w:eastAsia="zh-CN"/>
              </w:rPr>
              <w:t>基本预备费从其他投资一并计列，</w:t>
            </w:r>
            <w:r>
              <w:rPr>
                <w:rFonts w:cs="Times New Roman"/>
                <w:color w:val="auto"/>
                <w:sz w:val="18"/>
              </w:rPr>
              <w:t>因此水土保持总投资有所减少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1324"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工程</w:t>
            </w:r>
          </w:p>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总体评价</w:t>
            </w:r>
          </w:p>
        </w:tc>
        <w:tc>
          <w:tcPr>
            <w:tcW w:w="7082" w:type="dxa"/>
            <w:gridSpan w:val="11"/>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水土保持工程建设符合国家水土保持法律法规的要求，各项工程安全可靠、质量合格，总体工程质量达到了验收标准，</w:t>
            </w:r>
            <w:r>
              <w:rPr>
                <w:rFonts w:hint="eastAsia" w:cs="Times New Roman"/>
                <w:color w:val="auto"/>
                <w:sz w:val="18"/>
                <w:lang w:val="en-US" w:eastAsia="zh-CN"/>
              </w:rPr>
              <w:t>足额缴纳了水土保持补偿费、后续管护责任落实，可以组织水土保持设施的竣工验收</w:t>
            </w:r>
            <w:r>
              <w:rPr>
                <w:rFonts w:cs="Times New Roman"/>
                <w:color w:val="auto"/>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4"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水土保持方案编制单位</w:t>
            </w:r>
          </w:p>
        </w:tc>
        <w:tc>
          <w:tcPr>
            <w:tcW w:w="2390" w:type="dxa"/>
            <w:gridSpan w:val="3"/>
            <w:tcMar>
              <w:left w:w="28" w:type="dxa"/>
              <w:right w:w="28" w:type="dxa"/>
            </w:tcMar>
            <w:vAlign w:val="center"/>
          </w:tcPr>
          <w:p>
            <w:pPr>
              <w:pStyle w:val="53"/>
              <w:keepNext w:val="0"/>
              <w:keepLines w:val="0"/>
              <w:widowControl/>
              <w:suppressLineNumbers w:val="0"/>
              <w:spacing w:before="0" w:beforeAutospacing="0" w:after="0" w:afterAutospacing="0"/>
              <w:ind w:left="0" w:right="0"/>
              <w:rPr>
                <w:rFonts w:hint="eastAsia" w:eastAsia="仿宋_GB2312" w:cs="Times New Roman"/>
                <w:color w:val="auto"/>
                <w:sz w:val="18"/>
                <w:lang w:eastAsia="zh-CN"/>
              </w:rPr>
            </w:pPr>
            <w:r>
              <w:rPr>
                <w:rFonts w:hint="eastAsia" w:cs="Times New Roman"/>
                <w:color w:val="auto"/>
                <w:sz w:val="18"/>
                <w:lang w:eastAsia="zh-CN"/>
              </w:rPr>
              <w:t>浙江中水工程技术有限公司</w:t>
            </w:r>
          </w:p>
        </w:tc>
        <w:tc>
          <w:tcPr>
            <w:tcW w:w="1171" w:type="dxa"/>
            <w:gridSpan w:val="3"/>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主要施工</w:t>
            </w:r>
          </w:p>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单位</w:t>
            </w:r>
          </w:p>
        </w:tc>
        <w:tc>
          <w:tcPr>
            <w:tcW w:w="3521" w:type="dxa"/>
            <w:gridSpan w:val="5"/>
            <w:tcMar>
              <w:left w:w="28" w:type="dxa"/>
              <w:right w:w="28" w:type="dxa"/>
            </w:tcMar>
            <w:vAlign w:val="center"/>
          </w:tcPr>
          <w:p>
            <w:pPr>
              <w:pStyle w:val="53"/>
              <w:keepNext w:val="0"/>
              <w:keepLines w:val="0"/>
              <w:widowControl/>
              <w:suppressLineNumbers w:val="0"/>
              <w:spacing w:before="0" w:beforeAutospacing="0" w:after="0" w:afterAutospacing="0"/>
              <w:ind w:left="0" w:right="0"/>
              <w:rPr>
                <w:rFonts w:hint="eastAsia" w:eastAsia="仿宋_GB2312" w:cs="Times New Roman"/>
                <w:color w:val="auto"/>
                <w:sz w:val="18"/>
                <w:lang w:eastAsia="zh-CN"/>
              </w:rPr>
            </w:pPr>
            <w:r>
              <w:rPr>
                <w:rFonts w:hint="eastAsia" w:cs="Times New Roman"/>
                <w:color w:val="auto"/>
                <w:sz w:val="18"/>
                <w:lang w:eastAsia="zh-CN"/>
              </w:rPr>
              <w:t>四川蜀能电力有限公司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4"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水土保持监测单位</w:t>
            </w:r>
          </w:p>
        </w:tc>
        <w:tc>
          <w:tcPr>
            <w:tcW w:w="2390" w:type="dxa"/>
            <w:gridSpan w:val="3"/>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bCs/>
                <w:color w:val="auto"/>
                <w:sz w:val="18"/>
              </w:rPr>
            </w:pPr>
            <w:r>
              <w:rPr>
                <w:rFonts w:cs="Times New Roman"/>
                <w:bCs/>
                <w:color w:val="auto"/>
                <w:sz w:val="18"/>
              </w:rPr>
              <w:t>/</w:t>
            </w:r>
          </w:p>
        </w:tc>
        <w:tc>
          <w:tcPr>
            <w:tcW w:w="1171" w:type="dxa"/>
            <w:gridSpan w:val="3"/>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监理单位</w:t>
            </w:r>
          </w:p>
        </w:tc>
        <w:tc>
          <w:tcPr>
            <w:tcW w:w="3521" w:type="dxa"/>
            <w:gridSpan w:val="5"/>
            <w:tcMar>
              <w:left w:w="28" w:type="dxa"/>
              <w:right w:w="28" w:type="dxa"/>
            </w:tcMar>
            <w:vAlign w:val="center"/>
          </w:tcPr>
          <w:p>
            <w:pPr>
              <w:pStyle w:val="53"/>
              <w:keepNext w:val="0"/>
              <w:keepLines w:val="0"/>
              <w:widowControl/>
              <w:suppressLineNumbers w:val="0"/>
              <w:spacing w:before="0" w:beforeAutospacing="0" w:after="0" w:afterAutospacing="0"/>
              <w:ind w:left="0" w:right="0"/>
              <w:rPr>
                <w:rFonts w:hint="eastAsia" w:eastAsia="仿宋_GB2312" w:cs="Times New Roman"/>
                <w:color w:val="auto"/>
                <w:sz w:val="18"/>
                <w:lang w:eastAsia="zh-CN"/>
              </w:rPr>
            </w:pPr>
            <w:r>
              <w:rPr>
                <w:rFonts w:hint="eastAsia" w:cs="Times New Roman"/>
                <w:color w:val="auto"/>
                <w:sz w:val="18"/>
                <w:lang w:eastAsia="zh-CN"/>
              </w:rPr>
              <w:t>四川东祥工程项目管理有限责任公司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4"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验收报告编制单位</w:t>
            </w:r>
          </w:p>
        </w:tc>
        <w:tc>
          <w:tcPr>
            <w:tcW w:w="2390" w:type="dxa"/>
            <w:gridSpan w:val="3"/>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bCs/>
                <w:color w:val="auto"/>
                <w:sz w:val="18"/>
              </w:rPr>
            </w:pPr>
            <w:r>
              <w:rPr>
                <w:rFonts w:hint="eastAsia" w:cs="Times New Roman"/>
                <w:color w:val="auto"/>
                <w:sz w:val="18"/>
              </w:rPr>
              <w:t>成都浚川工程设计咨询有限公司</w:t>
            </w:r>
          </w:p>
        </w:tc>
        <w:tc>
          <w:tcPr>
            <w:tcW w:w="1171" w:type="dxa"/>
            <w:gridSpan w:val="3"/>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建设单位</w:t>
            </w:r>
          </w:p>
        </w:tc>
        <w:tc>
          <w:tcPr>
            <w:tcW w:w="3521" w:type="dxa"/>
            <w:gridSpan w:val="5"/>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国网四川省电力公司甘孜供电公司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4"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地址</w:t>
            </w:r>
          </w:p>
        </w:tc>
        <w:tc>
          <w:tcPr>
            <w:tcW w:w="2390" w:type="dxa"/>
            <w:gridSpan w:val="3"/>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rPr>
              <w:t>成都</w:t>
            </w:r>
            <w:r>
              <w:rPr>
                <w:rFonts w:hint="eastAsia" w:cs="Times New Roman"/>
                <w:color w:val="auto"/>
                <w:sz w:val="18"/>
                <w:lang w:val="en-US" w:eastAsia="zh-CN"/>
              </w:rPr>
              <w:t>市武侯区聚龙路988号</w:t>
            </w:r>
          </w:p>
        </w:tc>
        <w:tc>
          <w:tcPr>
            <w:tcW w:w="1171" w:type="dxa"/>
            <w:gridSpan w:val="3"/>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地址</w:t>
            </w:r>
          </w:p>
        </w:tc>
        <w:tc>
          <w:tcPr>
            <w:tcW w:w="3521" w:type="dxa"/>
            <w:gridSpan w:val="5"/>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000000" w:themeColor="text1"/>
                <w:sz w:val="18"/>
              </w:rPr>
            </w:pPr>
            <w:r>
              <w:rPr>
                <w:color w:val="000000" w:themeColor="text1"/>
                <w:sz w:val="18"/>
              </w:rPr>
              <w:t>四川省甘孜藏族自治州康定市炉城镇炉城南路57号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4"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联系人/电话</w:t>
            </w:r>
          </w:p>
        </w:tc>
        <w:tc>
          <w:tcPr>
            <w:tcW w:w="2390" w:type="dxa"/>
            <w:gridSpan w:val="3"/>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rPr>
              <w:t>何星仪/</w:t>
            </w:r>
            <w:r>
              <w:rPr>
                <w:color w:val="auto"/>
                <w:sz w:val="18"/>
              </w:rPr>
              <w:t xml:space="preserve"> 15281032582</w:t>
            </w:r>
          </w:p>
        </w:tc>
        <w:tc>
          <w:tcPr>
            <w:tcW w:w="1171" w:type="dxa"/>
            <w:gridSpan w:val="3"/>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联系人/电话</w:t>
            </w:r>
          </w:p>
        </w:tc>
        <w:tc>
          <w:tcPr>
            <w:tcW w:w="3521" w:type="dxa"/>
            <w:gridSpan w:val="5"/>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000000" w:themeColor="text1"/>
                <w:sz w:val="18"/>
              </w:rPr>
            </w:pPr>
            <w:r>
              <w:rPr>
                <w:rFonts w:hint="eastAsia" w:cs="Times New Roman"/>
                <w:color w:val="000000" w:themeColor="text1"/>
                <w:sz w:val="18"/>
              </w:rPr>
              <w:t>徐恒 18990464686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324" w:type="dxa"/>
            <w:gridSpan w:val="2"/>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电子信箱</w:t>
            </w:r>
          </w:p>
        </w:tc>
        <w:tc>
          <w:tcPr>
            <w:tcW w:w="2390" w:type="dxa"/>
            <w:gridSpan w:val="3"/>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1498714637@qq.com</w:t>
            </w:r>
          </w:p>
        </w:tc>
        <w:tc>
          <w:tcPr>
            <w:tcW w:w="1171" w:type="dxa"/>
            <w:gridSpan w:val="3"/>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电子信箱</w:t>
            </w:r>
          </w:p>
        </w:tc>
        <w:tc>
          <w:tcPr>
            <w:tcW w:w="3521" w:type="dxa"/>
            <w:gridSpan w:val="5"/>
            <w:tcMar>
              <w:left w:w="28" w:type="dxa"/>
              <w:right w:w="28" w:type="dxa"/>
            </w:tcMar>
            <w:vAlign w:val="center"/>
          </w:tcPr>
          <w:p>
            <w:pPr>
              <w:pStyle w:val="53"/>
              <w:keepNext w:val="0"/>
              <w:keepLines w:val="0"/>
              <w:widowControl/>
              <w:suppressLineNumbers w:val="0"/>
              <w:spacing w:before="0" w:beforeAutospacing="0" w:after="0" w:afterAutospacing="0"/>
              <w:ind w:left="0" w:right="0"/>
              <w:rPr>
                <w:rFonts w:cs="Times New Roman"/>
                <w:color w:val="000000" w:themeColor="text1"/>
                <w:sz w:val="18"/>
              </w:rPr>
            </w:pPr>
            <w:r>
              <w:rPr>
                <w:color w:val="000000" w:themeColor="text1"/>
                <w:sz w:val="18"/>
              </w:rPr>
              <w:t>1195421825</w:t>
            </w:r>
            <w:r>
              <w:rPr>
                <w:rFonts w:hint="eastAsia"/>
                <w:color w:val="000000" w:themeColor="text1"/>
                <w:sz w:val="18"/>
              </w:rPr>
              <w:t>@qq.com</w:t>
            </w:r>
          </w:p>
        </w:tc>
      </w:tr>
    </w:tbl>
    <w:p>
      <w:pPr>
        <w:spacing w:before="120"/>
        <w:ind w:firstLine="480"/>
      </w:pPr>
    </w:p>
    <w:p>
      <w:pPr>
        <w:spacing w:before="120"/>
        <w:ind w:firstLine="480"/>
        <w:sectPr>
          <w:headerReference r:id="rId17" w:type="default"/>
          <w:footerReference r:id="rId18" w:type="default"/>
          <w:pgSz w:w="11906" w:h="16838"/>
          <w:pgMar w:top="1304" w:right="1797" w:bottom="1304" w:left="1797" w:header="709" w:footer="709" w:gutter="0"/>
          <w:pgBorders>
            <w:top w:val="none" w:sz="0" w:space="0"/>
            <w:left w:val="none" w:sz="0" w:space="0"/>
            <w:bottom w:val="none" w:sz="0" w:space="0"/>
            <w:right w:val="none" w:sz="0" w:space="0"/>
          </w:pgBorders>
          <w:pgNumType w:fmt="upperRoman"/>
          <w:cols w:space="708" w:num="1"/>
          <w:docGrid w:linePitch="360" w:charSpace="0"/>
        </w:sectPr>
      </w:pPr>
    </w:p>
    <w:p>
      <w:pPr>
        <w:spacing w:before="120"/>
        <w:ind w:firstLine="0" w:firstLineChars="0"/>
        <w:jc w:val="center"/>
        <w:rPr>
          <w:bCs/>
          <w:kern w:val="0"/>
          <w:sz w:val="32"/>
          <w:szCs w:val="32"/>
          <w:lang w:val="zh-CN"/>
        </w:rPr>
      </w:pPr>
      <w:r>
        <w:rPr>
          <w:bCs/>
          <w:kern w:val="0"/>
          <w:sz w:val="32"/>
          <w:szCs w:val="32"/>
          <w:lang w:val="zh-CN"/>
        </w:rPr>
        <w:t>目  录</w:t>
      </w:r>
    </w:p>
    <w:p>
      <w:pPr>
        <w:pStyle w:val="25"/>
        <w:tabs>
          <w:tab w:val="right" w:leader="dot" w:pos="8306"/>
        </w:tabs>
      </w:pPr>
      <w:r>
        <w:fldChar w:fldCharType="begin"/>
      </w:r>
      <w:r>
        <w:instrText xml:space="preserve"> TOC \o "1-2" \h \z \u </w:instrText>
      </w:r>
      <w:r>
        <w:fldChar w:fldCharType="separate"/>
      </w:r>
      <w:r>
        <w:fldChar w:fldCharType="begin"/>
      </w:r>
      <w:r>
        <w:instrText xml:space="preserve"> HYPERLINK \l _Toc12526 </w:instrText>
      </w:r>
      <w:r>
        <w:fldChar w:fldCharType="separate"/>
      </w:r>
      <w:r>
        <w:rPr>
          <w:szCs w:val="32"/>
        </w:rPr>
        <w:t>前 言</w:t>
      </w:r>
      <w:r>
        <w:tab/>
      </w:r>
      <w:r>
        <w:fldChar w:fldCharType="begin"/>
      </w:r>
      <w:r>
        <w:instrText xml:space="preserve"> PAGEREF _Toc12526 </w:instrText>
      </w:r>
      <w:r>
        <w:fldChar w:fldCharType="separate"/>
      </w:r>
      <w:r>
        <w:t>I</w:t>
      </w:r>
      <w:r>
        <w:fldChar w:fldCharType="end"/>
      </w:r>
      <w:r>
        <w:fldChar w:fldCharType="end"/>
      </w:r>
    </w:p>
    <w:p>
      <w:pPr>
        <w:pStyle w:val="25"/>
        <w:tabs>
          <w:tab w:val="right" w:leader="dot" w:pos="8306"/>
        </w:tabs>
      </w:pPr>
      <w:r>
        <w:fldChar w:fldCharType="begin"/>
      </w:r>
      <w:r>
        <w:instrText xml:space="preserve"> HYPERLINK \l _Toc12579 </w:instrText>
      </w:r>
      <w:r>
        <w:fldChar w:fldCharType="separate"/>
      </w:r>
      <w:r>
        <w:rPr>
          <w:szCs w:val="24"/>
        </w:rPr>
        <w:t>水土保持设施</w:t>
      </w:r>
      <w:r>
        <w:rPr>
          <w:rFonts w:hint="eastAsia"/>
          <w:szCs w:val="24"/>
          <w:lang w:eastAsia="zh-CN"/>
        </w:rPr>
        <w:t>完工</w:t>
      </w:r>
      <w:r>
        <w:rPr>
          <w:szCs w:val="24"/>
        </w:rPr>
        <w:t>验收特性表</w:t>
      </w:r>
      <w:r>
        <w:tab/>
      </w:r>
      <w:r>
        <w:fldChar w:fldCharType="begin"/>
      </w:r>
      <w:r>
        <w:instrText xml:space="preserve"> PAGEREF _Toc12579 </w:instrText>
      </w:r>
      <w:r>
        <w:fldChar w:fldCharType="separate"/>
      </w:r>
      <w:r>
        <w:t>IV</w:t>
      </w:r>
      <w:r>
        <w:fldChar w:fldCharType="end"/>
      </w:r>
      <w:r>
        <w:fldChar w:fldCharType="end"/>
      </w:r>
    </w:p>
    <w:p>
      <w:pPr>
        <w:pStyle w:val="25"/>
        <w:tabs>
          <w:tab w:val="right" w:leader="dot" w:pos="8306"/>
        </w:tabs>
      </w:pPr>
      <w:r>
        <w:fldChar w:fldCharType="begin"/>
      </w:r>
      <w:r>
        <w:instrText xml:space="preserve"> HYPERLINK \l _Toc24536 </w:instrText>
      </w:r>
      <w:r>
        <w:fldChar w:fldCharType="separate"/>
      </w:r>
      <w:r>
        <w:rPr>
          <w:rFonts w:hint="eastAsia" w:ascii="Times New Roman" w:hAnsi="Times New Roman" w:cs="Times New Roman"/>
          <w:bCs w:val="0"/>
          <w:i w:val="0"/>
          <w:iCs w:val="0"/>
          <w:caps w:val="0"/>
          <w:smallCaps w:val="0"/>
          <w:strike w:val="0"/>
          <w:dstrike w:val="0"/>
          <w:outline w:val="0"/>
          <w:shadow w:val="0"/>
          <w:emboss w:val="0"/>
          <w:imprint w:val="0"/>
          <w:snapToGrid w:val="0"/>
          <w:vanish w:val="0"/>
          <w:spacing w:val="0"/>
          <w:w w:val="0"/>
          <w:kern w:val="0"/>
          <w:position w:val="0"/>
          <w:szCs w:val="0"/>
          <w:vertAlign w:val="baseline"/>
        </w:rPr>
        <w:t xml:space="preserve">1 </w:t>
      </w:r>
      <w:r>
        <w:t>项目及项目区概况</w:t>
      </w:r>
      <w:r>
        <w:tab/>
      </w:r>
      <w:r>
        <w:fldChar w:fldCharType="begin"/>
      </w:r>
      <w:r>
        <w:instrText xml:space="preserve"> PAGEREF _Toc24536 </w:instrText>
      </w:r>
      <w:r>
        <w:fldChar w:fldCharType="separate"/>
      </w:r>
      <w:r>
        <w:t>- 3 -</w:t>
      </w:r>
      <w:r>
        <w:fldChar w:fldCharType="end"/>
      </w:r>
      <w:r>
        <w:fldChar w:fldCharType="end"/>
      </w:r>
    </w:p>
    <w:p>
      <w:pPr>
        <w:pStyle w:val="28"/>
        <w:tabs>
          <w:tab w:val="right" w:leader="dot" w:pos="8306"/>
        </w:tabs>
      </w:pPr>
      <w:r>
        <w:fldChar w:fldCharType="begin"/>
      </w:r>
      <w:r>
        <w:instrText xml:space="preserve"> HYPERLINK \l _Toc12267 </w:instrText>
      </w:r>
      <w:r>
        <w:fldChar w:fldCharType="separate"/>
      </w:r>
      <w:r>
        <w:rPr>
          <w:rFonts w:hint="eastAsia"/>
          <w:bCs/>
        </w:rPr>
        <w:t xml:space="preserve">1.1  </w:t>
      </w:r>
      <w:r>
        <w:rPr>
          <w:bCs/>
        </w:rPr>
        <w:t>项目概况</w:t>
      </w:r>
      <w:r>
        <w:tab/>
      </w:r>
      <w:r>
        <w:fldChar w:fldCharType="begin"/>
      </w:r>
      <w:r>
        <w:instrText xml:space="preserve"> PAGEREF _Toc12267 </w:instrText>
      </w:r>
      <w:r>
        <w:fldChar w:fldCharType="separate"/>
      </w:r>
      <w:r>
        <w:t>- 3 -</w:t>
      </w:r>
      <w:r>
        <w:fldChar w:fldCharType="end"/>
      </w:r>
      <w:r>
        <w:fldChar w:fldCharType="end"/>
      </w:r>
    </w:p>
    <w:p>
      <w:pPr>
        <w:pStyle w:val="28"/>
        <w:tabs>
          <w:tab w:val="right" w:leader="dot" w:pos="8306"/>
        </w:tabs>
      </w:pPr>
      <w:r>
        <w:fldChar w:fldCharType="begin"/>
      </w:r>
      <w:r>
        <w:instrText xml:space="preserve"> HYPERLINK \l _Toc11405 </w:instrText>
      </w:r>
      <w:r>
        <w:fldChar w:fldCharType="separate"/>
      </w:r>
      <w:r>
        <w:rPr>
          <w:rFonts w:hint="eastAsia"/>
          <w:bCs/>
        </w:rPr>
        <w:t xml:space="preserve">1.2  </w:t>
      </w:r>
      <w:r>
        <w:rPr>
          <w:bCs/>
        </w:rPr>
        <w:t>项目区概况</w:t>
      </w:r>
      <w:r>
        <w:tab/>
      </w:r>
      <w:r>
        <w:fldChar w:fldCharType="begin"/>
      </w:r>
      <w:r>
        <w:instrText xml:space="preserve"> PAGEREF _Toc11405 </w:instrText>
      </w:r>
      <w:r>
        <w:fldChar w:fldCharType="separate"/>
      </w:r>
      <w:r>
        <w:t>- 9 -</w:t>
      </w:r>
      <w:r>
        <w:fldChar w:fldCharType="end"/>
      </w:r>
      <w:r>
        <w:fldChar w:fldCharType="end"/>
      </w:r>
    </w:p>
    <w:p>
      <w:pPr>
        <w:pStyle w:val="25"/>
        <w:tabs>
          <w:tab w:val="right" w:leader="dot" w:pos="8306"/>
        </w:tabs>
      </w:pPr>
      <w:r>
        <w:fldChar w:fldCharType="begin"/>
      </w:r>
      <w:r>
        <w:instrText xml:space="preserve"> HYPERLINK \l _Toc11207 </w:instrText>
      </w:r>
      <w:r>
        <w:fldChar w:fldCharType="separate"/>
      </w:r>
      <w:r>
        <w:rPr>
          <w:rFonts w:hint="eastAsia" w:ascii="Times New Roman" w:hAnsi="Times New Roman" w:cs="Times New Roman"/>
          <w:bCs w:val="0"/>
          <w:i w:val="0"/>
          <w:iCs w:val="0"/>
          <w:caps w:val="0"/>
          <w:smallCaps w:val="0"/>
          <w:strike w:val="0"/>
          <w:dstrike w:val="0"/>
          <w:outline w:val="0"/>
          <w:shadow w:val="0"/>
          <w:emboss w:val="0"/>
          <w:imprint w:val="0"/>
          <w:snapToGrid w:val="0"/>
          <w:vanish w:val="0"/>
          <w:spacing w:val="0"/>
          <w:w w:val="0"/>
          <w:kern w:val="0"/>
          <w:position w:val="0"/>
          <w:szCs w:val="0"/>
          <w:vertAlign w:val="baseline"/>
        </w:rPr>
        <w:t xml:space="preserve">2 </w:t>
      </w:r>
      <w:r>
        <w:t>水土保持方案和设计情况</w:t>
      </w:r>
      <w:r>
        <w:tab/>
      </w:r>
      <w:r>
        <w:fldChar w:fldCharType="begin"/>
      </w:r>
      <w:r>
        <w:instrText xml:space="preserve"> PAGEREF _Toc11207 </w:instrText>
      </w:r>
      <w:r>
        <w:fldChar w:fldCharType="separate"/>
      </w:r>
      <w:r>
        <w:t>- 14 -</w:t>
      </w:r>
      <w:r>
        <w:fldChar w:fldCharType="end"/>
      </w:r>
      <w:r>
        <w:fldChar w:fldCharType="end"/>
      </w:r>
    </w:p>
    <w:p>
      <w:pPr>
        <w:pStyle w:val="28"/>
        <w:tabs>
          <w:tab w:val="right" w:leader="dot" w:pos="8306"/>
        </w:tabs>
      </w:pPr>
      <w:r>
        <w:fldChar w:fldCharType="begin"/>
      </w:r>
      <w:r>
        <w:instrText xml:space="preserve"> HYPERLINK \l _Toc23468 </w:instrText>
      </w:r>
      <w:r>
        <w:fldChar w:fldCharType="separate"/>
      </w:r>
      <w:r>
        <w:rPr>
          <w:rFonts w:hint="eastAsia"/>
          <w:bCs/>
        </w:rPr>
        <w:t>2.1  主体工程设计</w:t>
      </w:r>
      <w:r>
        <w:tab/>
      </w:r>
      <w:r>
        <w:fldChar w:fldCharType="begin"/>
      </w:r>
      <w:r>
        <w:instrText xml:space="preserve"> PAGEREF _Toc23468 </w:instrText>
      </w:r>
      <w:r>
        <w:fldChar w:fldCharType="separate"/>
      </w:r>
      <w:r>
        <w:t>- 14 -</w:t>
      </w:r>
      <w:r>
        <w:fldChar w:fldCharType="end"/>
      </w:r>
      <w:r>
        <w:fldChar w:fldCharType="end"/>
      </w:r>
    </w:p>
    <w:p>
      <w:pPr>
        <w:pStyle w:val="28"/>
        <w:tabs>
          <w:tab w:val="right" w:leader="dot" w:pos="8306"/>
        </w:tabs>
      </w:pPr>
      <w:r>
        <w:fldChar w:fldCharType="begin"/>
      </w:r>
      <w:r>
        <w:instrText xml:space="preserve"> HYPERLINK \l _Toc23663 </w:instrText>
      </w:r>
      <w:r>
        <w:fldChar w:fldCharType="separate"/>
      </w:r>
      <w:r>
        <w:rPr>
          <w:rFonts w:hint="eastAsia"/>
          <w:bCs/>
        </w:rPr>
        <w:t xml:space="preserve">2.2  </w:t>
      </w:r>
      <w:r>
        <w:rPr>
          <w:bCs/>
        </w:rPr>
        <w:t>水土保持方案报告表</w:t>
      </w:r>
      <w:r>
        <w:tab/>
      </w:r>
      <w:r>
        <w:fldChar w:fldCharType="begin"/>
      </w:r>
      <w:r>
        <w:instrText xml:space="preserve"> PAGEREF _Toc23663 </w:instrText>
      </w:r>
      <w:r>
        <w:fldChar w:fldCharType="separate"/>
      </w:r>
      <w:r>
        <w:t>- 14 -</w:t>
      </w:r>
      <w:r>
        <w:fldChar w:fldCharType="end"/>
      </w:r>
      <w:r>
        <w:fldChar w:fldCharType="end"/>
      </w:r>
    </w:p>
    <w:p>
      <w:pPr>
        <w:pStyle w:val="28"/>
        <w:tabs>
          <w:tab w:val="right" w:leader="dot" w:pos="8306"/>
        </w:tabs>
      </w:pPr>
      <w:r>
        <w:fldChar w:fldCharType="begin"/>
      </w:r>
      <w:r>
        <w:instrText xml:space="preserve"> HYPERLINK \l _Toc7489 </w:instrText>
      </w:r>
      <w:r>
        <w:fldChar w:fldCharType="separate"/>
      </w:r>
      <w:r>
        <w:rPr>
          <w:rFonts w:hint="eastAsia"/>
          <w:bCs/>
        </w:rPr>
        <w:t xml:space="preserve">2.3  </w:t>
      </w:r>
      <w:r>
        <w:rPr>
          <w:bCs/>
        </w:rPr>
        <w:t>水土保持方案变更</w:t>
      </w:r>
      <w:r>
        <w:tab/>
      </w:r>
      <w:r>
        <w:fldChar w:fldCharType="begin"/>
      </w:r>
      <w:r>
        <w:instrText xml:space="preserve"> PAGEREF _Toc7489 </w:instrText>
      </w:r>
      <w:r>
        <w:fldChar w:fldCharType="separate"/>
      </w:r>
      <w:r>
        <w:t>- 14 -</w:t>
      </w:r>
      <w:r>
        <w:fldChar w:fldCharType="end"/>
      </w:r>
      <w:r>
        <w:fldChar w:fldCharType="end"/>
      </w:r>
    </w:p>
    <w:p>
      <w:pPr>
        <w:pStyle w:val="25"/>
        <w:tabs>
          <w:tab w:val="right" w:leader="dot" w:pos="8306"/>
        </w:tabs>
      </w:pPr>
      <w:r>
        <w:fldChar w:fldCharType="begin"/>
      </w:r>
      <w:r>
        <w:instrText xml:space="preserve"> HYPERLINK \l _Toc29743 </w:instrText>
      </w:r>
      <w:r>
        <w:fldChar w:fldCharType="separate"/>
      </w:r>
      <w:r>
        <w:rPr>
          <w:rFonts w:hint="eastAsia" w:ascii="Times New Roman" w:hAnsi="Times New Roman" w:cs="Times New Roman"/>
          <w:bCs w:val="0"/>
          <w:i w:val="0"/>
          <w:iCs w:val="0"/>
          <w:caps w:val="0"/>
          <w:smallCaps w:val="0"/>
          <w:strike w:val="0"/>
          <w:dstrike w:val="0"/>
          <w:outline w:val="0"/>
          <w:shadow w:val="0"/>
          <w:emboss w:val="0"/>
          <w:imprint w:val="0"/>
          <w:snapToGrid w:val="0"/>
          <w:vanish w:val="0"/>
          <w:spacing w:val="0"/>
          <w:w w:val="0"/>
          <w:kern w:val="0"/>
          <w:position w:val="0"/>
          <w:szCs w:val="0"/>
          <w:vertAlign w:val="baseline"/>
        </w:rPr>
        <w:t xml:space="preserve">3 </w:t>
      </w:r>
      <w:r>
        <w:t>水土保持方案实施情况</w:t>
      </w:r>
      <w:r>
        <w:tab/>
      </w:r>
      <w:r>
        <w:fldChar w:fldCharType="begin"/>
      </w:r>
      <w:r>
        <w:instrText xml:space="preserve"> PAGEREF _Toc29743 </w:instrText>
      </w:r>
      <w:r>
        <w:fldChar w:fldCharType="separate"/>
      </w:r>
      <w:r>
        <w:t>- 15 -</w:t>
      </w:r>
      <w:r>
        <w:fldChar w:fldCharType="end"/>
      </w:r>
      <w:r>
        <w:fldChar w:fldCharType="end"/>
      </w:r>
    </w:p>
    <w:p>
      <w:pPr>
        <w:pStyle w:val="28"/>
        <w:tabs>
          <w:tab w:val="right" w:leader="dot" w:pos="8306"/>
        </w:tabs>
      </w:pPr>
      <w:r>
        <w:fldChar w:fldCharType="begin"/>
      </w:r>
      <w:r>
        <w:instrText xml:space="preserve"> HYPERLINK \l _Toc15140 </w:instrText>
      </w:r>
      <w:r>
        <w:fldChar w:fldCharType="separate"/>
      </w:r>
      <w:r>
        <w:rPr>
          <w:rFonts w:hint="eastAsia"/>
          <w:bCs/>
        </w:rPr>
        <w:t xml:space="preserve">3.1  </w:t>
      </w:r>
      <w:r>
        <w:rPr>
          <w:bCs/>
        </w:rPr>
        <w:t>水土流失防治责任范围</w:t>
      </w:r>
      <w:r>
        <w:tab/>
      </w:r>
      <w:r>
        <w:fldChar w:fldCharType="begin"/>
      </w:r>
      <w:r>
        <w:instrText xml:space="preserve"> PAGEREF _Toc15140 </w:instrText>
      </w:r>
      <w:r>
        <w:fldChar w:fldCharType="separate"/>
      </w:r>
      <w:r>
        <w:t>- 15 -</w:t>
      </w:r>
      <w:r>
        <w:fldChar w:fldCharType="end"/>
      </w:r>
      <w:r>
        <w:fldChar w:fldCharType="end"/>
      </w:r>
    </w:p>
    <w:p>
      <w:pPr>
        <w:pStyle w:val="28"/>
        <w:tabs>
          <w:tab w:val="right" w:leader="dot" w:pos="8306"/>
        </w:tabs>
      </w:pPr>
      <w:r>
        <w:fldChar w:fldCharType="begin"/>
      </w:r>
      <w:r>
        <w:instrText xml:space="preserve"> HYPERLINK \l _Toc31541 </w:instrText>
      </w:r>
      <w:r>
        <w:fldChar w:fldCharType="separate"/>
      </w:r>
      <w:r>
        <w:rPr>
          <w:rFonts w:hint="eastAsia"/>
          <w:bCs/>
        </w:rPr>
        <w:t xml:space="preserve">3.2  </w:t>
      </w:r>
      <w:r>
        <w:rPr>
          <w:bCs/>
        </w:rPr>
        <w:t>弃渣场设置</w:t>
      </w:r>
      <w:r>
        <w:tab/>
      </w:r>
      <w:r>
        <w:fldChar w:fldCharType="begin"/>
      </w:r>
      <w:r>
        <w:instrText xml:space="preserve"> PAGEREF _Toc31541 </w:instrText>
      </w:r>
      <w:r>
        <w:fldChar w:fldCharType="separate"/>
      </w:r>
      <w:r>
        <w:t>- 16 -</w:t>
      </w:r>
      <w:r>
        <w:fldChar w:fldCharType="end"/>
      </w:r>
      <w:r>
        <w:fldChar w:fldCharType="end"/>
      </w:r>
    </w:p>
    <w:p>
      <w:pPr>
        <w:pStyle w:val="28"/>
        <w:tabs>
          <w:tab w:val="right" w:leader="dot" w:pos="8306"/>
        </w:tabs>
      </w:pPr>
      <w:r>
        <w:fldChar w:fldCharType="begin"/>
      </w:r>
      <w:r>
        <w:instrText xml:space="preserve"> HYPERLINK \l _Toc21414 </w:instrText>
      </w:r>
      <w:r>
        <w:fldChar w:fldCharType="separate"/>
      </w:r>
      <w:r>
        <w:rPr>
          <w:rFonts w:hint="eastAsia"/>
          <w:bCs/>
        </w:rPr>
        <w:t xml:space="preserve">3.3  </w:t>
      </w:r>
      <w:r>
        <w:rPr>
          <w:bCs/>
        </w:rPr>
        <w:t>取土（石、料）场设置</w:t>
      </w:r>
      <w:r>
        <w:tab/>
      </w:r>
      <w:r>
        <w:fldChar w:fldCharType="begin"/>
      </w:r>
      <w:r>
        <w:instrText xml:space="preserve"> PAGEREF _Toc21414 </w:instrText>
      </w:r>
      <w:r>
        <w:fldChar w:fldCharType="separate"/>
      </w:r>
      <w:r>
        <w:t>- 16 -</w:t>
      </w:r>
      <w:r>
        <w:fldChar w:fldCharType="end"/>
      </w:r>
      <w:r>
        <w:fldChar w:fldCharType="end"/>
      </w:r>
    </w:p>
    <w:p>
      <w:pPr>
        <w:pStyle w:val="28"/>
        <w:tabs>
          <w:tab w:val="right" w:leader="dot" w:pos="8306"/>
        </w:tabs>
      </w:pPr>
      <w:r>
        <w:fldChar w:fldCharType="begin"/>
      </w:r>
      <w:r>
        <w:instrText xml:space="preserve"> HYPERLINK \l _Toc14875 </w:instrText>
      </w:r>
      <w:r>
        <w:fldChar w:fldCharType="separate"/>
      </w:r>
      <w:r>
        <w:rPr>
          <w:rFonts w:hint="eastAsia"/>
          <w:bCs/>
        </w:rPr>
        <w:t xml:space="preserve">3.4  </w:t>
      </w:r>
      <w:r>
        <w:rPr>
          <w:bCs/>
        </w:rPr>
        <w:t>水土保持措施总体布局</w:t>
      </w:r>
      <w:r>
        <w:tab/>
      </w:r>
      <w:r>
        <w:fldChar w:fldCharType="begin"/>
      </w:r>
      <w:r>
        <w:instrText xml:space="preserve"> PAGEREF _Toc14875 </w:instrText>
      </w:r>
      <w:r>
        <w:fldChar w:fldCharType="separate"/>
      </w:r>
      <w:r>
        <w:t>- 16 -</w:t>
      </w:r>
      <w:r>
        <w:fldChar w:fldCharType="end"/>
      </w:r>
      <w:r>
        <w:fldChar w:fldCharType="end"/>
      </w:r>
    </w:p>
    <w:p>
      <w:pPr>
        <w:pStyle w:val="28"/>
        <w:tabs>
          <w:tab w:val="right" w:leader="dot" w:pos="8306"/>
        </w:tabs>
      </w:pPr>
      <w:r>
        <w:fldChar w:fldCharType="begin"/>
      </w:r>
      <w:r>
        <w:instrText xml:space="preserve"> HYPERLINK \l _Toc19028 </w:instrText>
      </w:r>
      <w:r>
        <w:fldChar w:fldCharType="separate"/>
      </w:r>
      <w:r>
        <w:rPr>
          <w:rFonts w:hint="eastAsia"/>
          <w:bCs/>
        </w:rPr>
        <w:t xml:space="preserve">3.5  </w:t>
      </w:r>
      <w:r>
        <w:rPr>
          <w:bCs/>
        </w:rPr>
        <w:t>水土保持设施完成情况</w:t>
      </w:r>
      <w:r>
        <w:tab/>
      </w:r>
      <w:r>
        <w:fldChar w:fldCharType="begin"/>
      </w:r>
      <w:r>
        <w:instrText xml:space="preserve"> PAGEREF _Toc19028 </w:instrText>
      </w:r>
      <w:r>
        <w:fldChar w:fldCharType="separate"/>
      </w:r>
      <w:r>
        <w:t>- 18 -</w:t>
      </w:r>
      <w:r>
        <w:fldChar w:fldCharType="end"/>
      </w:r>
      <w:r>
        <w:fldChar w:fldCharType="end"/>
      </w:r>
    </w:p>
    <w:p>
      <w:pPr>
        <w:pStyle w:val="28"/>
        <w:tabs>
          <w:tab w:val="right" w:leader="dot" w:pos="8306"/>
        </w:tabs>
      </w:pPr>
      <w:r>
        <w:fldChar w:fldCharType="begin"/>
      </w:r>
      <w:r>
        <w:instrText xml:space="preserve"> HYPERLINK \l _Toc22033 </w:instrText>
      </w:r>
      <w:r>
        <w:fldChar w:fldCharType="separate"/>
      </w:r>
      <w:r>
        <w:rPr>
          <w:rFonts w:hint="eastAsia"/>
          <w:bCs/>
        </w:rPr>
        <w:t xml:space="preserve">3.6  </w:t>
      </w:r>
      <w:r>
        <w:rPr>
          <w:bCs/>
        </w:rPr>
        <w:t>水土保持投资完成情况</w:t>
      </w:r>
      <w:r>
        <w:tab/>
      </w:r>
      <w:r>
        <w:fldChar w:fldCharType="begin"/>
      </w:r>
      <w:r>
        <w:instrText xml:space="preserve"> PAGEREF _Toc22033 </w:instrText>
      </w:r>
      <w:r>
        <w:fldChar w:fldCharType="separate"/>
      </w:r>
      <w:r>
        <w:t>- 20 -</w:t>
      </w:r>
      <w:r>
        <w:fldChar w:fldCharType="end"/>
      </w:r>
      <w:r>
        <w:fldChar w:fldCharType="end"/>
      </w:r>
    </w:p>
    <w:p>
      <w:pPr>
        <w:pStyle w:val="25"/>
        <w:tabs>
          <w:tab w:val="right" w:leader="dot" w:pos="8306"/>
        </w:tabs>
      </w:pPr>
      <w:r>
        <w:fldChar w:fldCharType="begin"/>
      </w:r>
      <w:r>
        <w:instrText xml:space="preserve"> HYPERLINK \l _Toc10258 </w:instrText>
      </w:r>
      <w:r>
        <w:fldChar w:fldCharType="separate"/>
      </w:r>
      <w:r>
        <w:rPr>
          <w:rFonts w:hint="eastAsia" w:ascii="Times New Roman" w:hAnsi="Times New Roman" w:cs="Times New Roman"/>
          <w:bCs w:val="0"/>
          <w:i w:val="0"/>
          <w:iCs w:val="0"/>
          <w:caps w:val="0"/>
          <w:smallCaps w:val="0"/>
          <w:strike w:val="0"/>
          <w:dstrike w:val="0"/>
          <w:outline w:val="0"/>
          <w:shadow w:val="0"/>
          <w:emboss w:val="0"/>
          <w:imprint w:val="0"/>
          <w:snapToGrid w:val="0"/>
          <w:vanish w:val="0"/>
          <w:spacing w:val="0"/>
          <w:w w:val="0"/>
          <w:kern w:val="0"/>
          <w:position w:val="0"/>
          <w:szCs w:val="0"/>
          <w:vertAlign w:val="baseline"/>
        </w:rPr>
        <w:t xml:space="preserve">4 </w:t>
      </w:r>
      <w:r>
        <w:t>水土保持工程质量</w:t>
      </w:r>
      <w:r>
        <w:tab/>
      </w:r>
      <w:r>
        <w:fldChar w:fldCharType="begin"/>
      </w:r>
      <w:r>
        <w:instrText xml:space="preserve"> PAGEREF _Toc10258 </w:instrText>
      </w:r>
      <w:r>
        <w:fldChar w:fldCharType="separate"/>
      </w:r>
      <w:r>
        <w:t>- 24 -</w:t>
      </w:r>
      <w:r>
        <w:fldChar w:fldCharType="end"/>
      </w:r>
      <w:r>
        <w:fldChar w:fldCharType="end"/>
      </w:r>
    </w:p>
    <w:p>
      <w:pPr>
        <w:pStyle w:val="28"/>
        <w:tabs>
          <w:tab w:val="right" w:leader="dot" w:pos="8306"/>
        </w:tabs>
      </w:pPr>
      <w:r>
        <w:fldChar w:fldCharType="begin"/>
      </w:r>
      <w:r>
        <w:instrText xml:space="preserve"> HYPERLINK \l _Toc4886 </w:instrText>
      </w:r>
      <w:r>
        <w:fldChar w:fldCharType="separate"/>
      </w:r>
      <w:r>
        <w:rPr>
          <w:rFonts w:hint="eastAsia"/>
          <w:bCs/>
        </w:rPr>
        <w:t xml:space="preserve">4.1  </w:t>
      </w:r>
      <w:r>
        <w:rPr>
          <w:bCs/>
        </w:rPr>
        <w:t>质量管理体系</w:t>
      </w:r>
      <w:r>
        <w:tab/>
      </w:r>
      <w:r>
        <w:fldChar w:fldCharType="begin"/>
      </w:r>
      <w:r>
        <w:instrText xml:space="preserve"> PAGEREF _Toc4886 </w:instrText>
      </w:r>
      <w:r>
        <w:fldChar w:fldCharType="separate"/>
      </w:r>
      <w:r>
        <w:t>- 24 -</w:t>
      </w:r>
      <w:r>
        <w:fldChar w:fldCharType="end"/>
      </w:r>
      <w:r>
        <w:fldChar w:fldCharType="end"/>
      </w:r>
    </w:p>
    <w:p>
      <w:pPr>
        <w:pStyle w:val="28"/>
        <w:tabs>
          <w:tab w:val="right" w:leader="dot" w:pos="8306"/>
        </w:tabs>
      </w:pPr>
      <w:r>
        <w:fldChar w:fldCharType="begin"/>
      </w:r>
      <w:r>
        <w:instrText xml:space="preserve"> HYPERLINK \l _Toc11492 </w:instrText>
      </w:r>
      <w:r>
        <w:fldChar w:fldCharType="separate"/>
      </w:r>
      <w:r>
        <w:rPr>
          <w:rFonts w:hint="eastAsia"/>
          <w:bCs/>
        </w:rPr>
        <w:t xml:space="preserve">4.2  </w:t>
      </w:r>
      <w:r>
        <w:rPr>
          <w:bCs/>
        </w:rPr>
        <w:t>各防治分区水土保持工程质量评定</w:t>
      </w:r>
      <w:r>
        <w:tab/>
      </w:r>
      <w:r>
        <w:fldChar w:fldCharType="begin"/>
      </w:r>
      <w:r>
        <w:instrText xml:space="preserve"> PAGEREF _Toc11492 </w:instrText>
      </w:r>
      <w:r>
        <w:fldChar w:fldCharType="separate"/>
      </w:r>
      <w:r>
        <w:t>- 27 -</w:t>
      </w:r>
      <w:r>
        <w:fldChar w:fldCharType="end"/>
      </w:r>
      <w:r>
        <w:fldChar w:fldCharType="end"/>
      </w:r>
    </w:p>
    <w:p>
      <w:pPr>
        <w:pStyle w:val="28"/>
        <w:tabs>
          <w:tab w:val="right" w:leader="dot" w:pos="8306"/>
        </w:tabs>
      </w:pPr>
      <w:r>
        <w:fldChar w:fldCharType="begin"/>
      </w:r>
      <w:r>
        <w:instrText xml:space="preserve"> HYPERLINK \l _Toc5398 </w:instrText>
      </w:r>
      <w:r>
        <w:fldChar w:fldCharType="separate"/>
      </w:r>
      <w:r>
        <w:rPr>
          <w:rFonts w:hint="eastAsia"/>
          <w:bCs/>
        </w:rPr>
        <w:t xml:space="preserve">4.3  </w:t>
      </w:r>
      <w:r>
        <w:rPr>
          <w:bCs/>
        </w:rPr>
        <w:t>弃渣场稳定性评估</w:t>
      </w:r>
      <w:r>
        <w:tab/>
      </w:r>
      <w:r>
        <w:fldChar w:fldCharType="begin"/>
      </w:r>
      <w:r>
        <w:instrText xml:space="preserve"> PAGEREF _Toc5398 </w:instrText>
      </w:r>
      <w:r>
        <w:fldChar w:fldCharType="separate"/>
      </w:r>
      <w:r>
        <w:t>- 32 -</w:t>
      </w:r>
      <w:r>
        <w:fldChar w:fldCharType="end"/>
      </w:r>
      <w:r>
        <w:fldChar w:fldCharType="end"/>
      </w:r>
    </w:p>
    <w:p>
      <w:pPr>
        <w:pStyle w:val="28"/>
        <w:tabs>
          <w:tab w:val="right" w:leader="dot" w:pos="8306"/>
        </w:tabs>
      </w:pPr>
      <w:r>
        <w:fldChar w:fldCharType="begin"/>
      </w:r>
      <w:r>
        <w:instrText xml:space="preserve"> HYPERLINK \l _Toc10522 </w:instrText>
      </w:r>
      <w:r>
        <w:fldChar w:fldCharType="separate"/>
      </w:r>
      <w:r>
        <w:rPr>
          <w:rFonts w:hint="eastAsia"/>
          <w:bCs/>
        </w:rPr>
        <w:t xml:space="preserve">4.4  </w:t>
      </w:r>
      <w:r>
        <w:rPr>
          <w:bCs/>
        </w:rPr>
        <w:t>总体质量评价</w:t>
      </w:r>
      <w:r>
        <w:tab/>
      </w:r>
      <w:r>
        <w:fldChar w:fldCharType="begin"/>
      </w:r>
      <w:r>
        <w:instrText xml:space="preserve"> PAGEREF _Toc10522 </w:instrText>
      </w:r>
      <w:r>
        <w:fldChar w:fldCharType="separate"/>
      </w:r>
      <w:r>
        <w:t>- 33 -</w:t>
      </w:r>
      <w:r>
        <w:fldChar w:fldCharType="end"/>
      </w:r>
      <w:r>
        <w:fldChar w:fldCharType="end"/>
      </w:r>
    </w:p>
    <w:p>
      <w:pPr>
        <w:pStyle w:val="25"/>
        <w:tabs>
          <w:tab w:val="right" w:leader="dot" w:pos="8306"/>
        </w:tabs>
      </w:pPr>
      <w:r>
        <w:fldChar w:fldCharType="begin"/>
      </w:r>
      <w:r>
        <w:instrText xml:space="preserve"> HYPERLINK \l _Toc32497 </w:instrText>
      </w:r>
      <w:r>
        <w:fldChar w:fldCharType="separate"/>
      </w:r>
      <w:r>
        <w:rPr>
          <w:rFonts w:hint="eastAsia" w:ascii="Times New Roman" w:hAnsi="Times New Roman" w:cs="Times New Roman"/>
          <w:bCs w:val="0"/>
          <w:i w:val="0"/>
          <w:iCs w:val="0"/>
          <w:caps w:val="0"/>
          <w:smallCaps w:val="0"/>
          <w:strike w:val="0"/>
          <w:dstrike w:val="0"/>
          <w:outline w:val="0"/>
          <w:shadow w:val="0"/>
          <w:emboss w:val="0"/>
          <w:imprint w:val="0"/>
          <w:snapToGrid w:val="0"/>
          <w:vanish w:val="0"/>
          <w:spacing w:val="0"/>
          <w:w w:val="0"/>
          <w:kern w:val="0"/>
          <w:position w:val="0"/>
          <w:szCs w:val="0"/>
          <w:vertAlign w:val="baseline"/>
        </w:rPr>
        <w:t xml:space="preserve">5 </w:t>
      </w:r>
      <w:r>
        <w:t>项目初期运行及水土保持效果</w:t>
      </w:r>
      <w:r>
        <w:tab/>
      </w:r>
      <w:r>
        <w:fldChar w:fldCharType="begin"/>
      </w:r>
      <w:r>
        <w:instrText xml:space="preserve"> PAGEREF _Toc32497 </w:instrText>
      </w:r>
      <w:r>
        <w:fldChar w:fldCharType="separate"/>
      </w:r>
      <w:r>
        <w:t>- 34 -</w:t>
      </w:r>
      <w:r>
        <w:fldChar w:fldCharType="end"/>
      </w:r>
      <w:r>
        <w:fldChar w:fldCharType="end"/>
      </w:r>
    </w:p>
    <w:p>
      <w:pPr>
        <w:pStyle w:val="28"/>
        <w:tabs>
          <w:tab w:val="right" w:leader="dot" w:pos="8306"/>
        </w:tabs>
      </w:pPr>
      <w:r>
        <w:fldChar w:fldCharType="begin"/>
      </w:r>
      <w:r>
        <w:instrText xml:space="preserve"> HYPERLINK \l _Toc8377 </w:instrText>
      </w:r>
      <w:r>
        <w:fldChar w:fldCharType="separate"/>
      </w:r>
      <w:r>
        <w:rPr>
          <w:rFonts w:hint="eastAsia"/>
          <w:bCs/>
        </w:rPr>
        <w:t xml:space="preserve">5.1  </w:t>
      </w:r>
      <w:r>
        <w:rPr>
          <w:bCs/>
        </w:rPr>
        <w:t>初期运行情况</w:t>
      </w:r>
      <w:r>
        <w:tab/>
      </w:r>
      <w:r>
        <w:fldChar w:fldCharType="begin"/>
      </w:r>
      <w:r>
        <w:instrText xml:space="preserve"> PAGEREF _Toc8377 </w:instrText>
      </w:r>
      <w:r>
        <w:fldChar w:fldCharType="separate"/>
      </w:r>
      <w:r>
        <w:t>- 34 -</w:t>
      </w:r>
      <w:r>
        <w:fldChar w:fldCharType="end"/>
      </w:r>
      <w:r>
        <w:fldChar w:fldCharType="end"/>
      </w:r>
    </w:p>
    <w:p>
      <w:pPr>
        <w:pStyle w:val="28"/>
        <w:tabs>
          <w:tab w:val="right" w:leader="dot" w:pos="8306"/>
        </w:tabs>
      </w:pPr>
      <w:r>
        <w:fldChar w:fldCharType="begin"/>
      </w:r>
      <w:r>
        <w:instrText xml:space="preserve"> HYPERLINK \l _Toc1709 </w:instrText>
      </w:r>
      <w:r>
        <w:fldChar w:fldCharType="separate"/>
      </w:r>
      <w:r>
        <w:rPr>
          <w:rFonts w:hint="eastAsia"/>
          <w:bCs/>
        </w:rPr>
        <w:t xml:space="preserve">5.2  </w:t>
      </w:r>
      <w:r>
        <w:rPr>
          <w:bCs/>
        </w:rPr>
        <w:t>水土保持效果</w:t>
      </w:r>
      <w:r>
        <w:tab/>
      </w:r>
      <w:r>
        <w:fldChar w:fldCharType="begin"/>
      </w:r>
      <w:r>
        <w:instrText xml:space="preserve"> PAGEREF _Toc1709 </w:instrText>
      </w:r>
      <w:r>
        <w:fldChar w:fldCharType="separate"/>
      </w:r>
      <w:r>
        <w:t>- 34 -</w:t>
      </w:r>
      <w:r>
        <w:fldChar w:fldCharType="end"/>
      </w:r>
      <w:r>
        <w:fldChar w:fldCharType="end"/>
      </w:r>
    </w:p>
    <w:p>
      <w:pPr>
        <w:pStyle w:val="25"/>
        <w:tabs>
          <w:tab w:val="right" w:leader="dot" w:pos="8306"/>
        </w:tabs>
      </w:pPr>
      <w:r>
        <w:fldChar w:fldCharType="begin"/>
      </w:r>
      <w:r>
        <w:instrText xml:space="preserve"> HYPERLINK \l _Toc4952 </w:instrText>
      </w:r>
      <w:r>
        <w:fldChar w:fldCharType="separate"/>
      </w:r>
      <w:r>
        <w:rPr>
          <w:rFonts w:hint="eastAsia" w:ascii="Times New Roman" w:hAnsi="Times New Roman" w:cs="Times New Roman"/>
          <w:bCs w:val="0"/>
          <w:i w:val="0"/>
          <w:iCs w:val="0"/>
          <w:caps w:val="0"/>
          <w:smallCaps w:val="0"/>
          <w:strike w:val="0"/>
          <w:dstrike w:val="0"/>
          <w:outline w:val="0"/>
          <w:shadow w:val="0"/>
          <w:emboss w:val="0"/>
          <w:imprint w:val="0"/>
          <w:snapToGrid w:val="0"/>
          <w:vanish w:val="0"/>
          <w:spacing w:val="0"/>
          <w:w w:val="0"/>
          <w:kern w:val="0"/>
          <w:position w:val="0"/>
          <w:szCs w:val="0"/>
          <w:vertAlign w:val="baseline"/>
        </w:rPr>
        <w:t xml:space="preserve">6 </w:t>
      </w:r>
      <w:r>
        <w:t>水土保持管理</w:t>
      </w:r>
      <w:r>
        <w:tab/>
      </w:r>
      <w:r>
        <w:fldChar w:fldCharType="begin"/>
      </w:r>
      <w:r>
        <w:instrText xml:space="preserve"> PAGEREF _Toc4952 </w:instrText>
      </w:r>
      <w:r>
        <w:fldChar w:fldCharType="separate"/>
      </w:r>
      <w:r>
        <w:t>- 40 -</w:t>
      </w:r>
      <w:r>
        <w:fldChar w:fldCharType="end"/>
      </w:r>
      <w:r>
        <w:fldChar w:fldCharType="end"/>
      </w:r>
    </w:p>
    <w:p>
      <w:pPr>
        <w:pStyle w:val="28"/>
        <w:tabs>
          <w:tab w:val="right" w:leader="dot" w:pos="8306"/>
        </w:tabs>
      </w:pPr>
      <w:r>
        <w:fldChar w:fldCharType="begin"/>
      </w:r>
      <w:r>
        <w:instrText xml:space="preserve"> HYPERLINK \l _Toc4207 </w:instrText>
      </w:r>
      <w:r>
        <w:fldChar w:fldCharType="separate"/>
      </w:r>
      <w:r>
        <w:rPr>
          <w:rFonts w:hint="eastAsia"/>
          <w:bCs/>
        </w:rPr>
        <w:t xml:space="preserve">6.1  </w:t>
      </w:r>
      <w:r>
        <w:rPr>
          <w:bCs/>
        </w:rPr>
        <w:t>组织领导</w:t>
      </w:r>
      <w:r>
        <w:tab/>
      </w:r>
      <w:r>
        <w:fldChar w:fldCharType="begin"/>
      </w:r>
      <w:r>
        <w:instrText xml:space="preserve"> PAGEREF _Toc4207 </w:instrText>
      </w:r>
      <w:r>
        <w:fldChar w:fldCharType="separate"/>
      </w:r>
      <w:r>
        <w:t>- 40 -</w:t>
      </w:r>
      <w:r>
        <w:fldChar w:fldCharType="end"/>
      </w:r>
      <w:r>
        <w:fldChar w:fldCharType="end"/>
      </w:r>
    </w:p>
    <w:p>
      <w:pPr>
        <w:pStyle w:val="28"/>
        <w:tabs>
          <w:tab w:val="right" w:leader="dot" w:pos="8306"/>
        </w:tabs>
      </w:pPr>
      <w:r>
        <w:fldChar w:fldCharType="begin"/>
      </w:r>
      <w:r>
        <w:instrText xml:space="preserve"> HYPERLINK \l _Toc21457 </w:instrText>
      </w:r>
      <w:r>
        <w:fldChar w:fldCharType="separate"/>
      </w:r>
      <w:r>
        <w:rPr>
          <w:rFonts w:hint="eastAsia"/>
          <w:bCs/>
        </w:rPr>
        <w:t xml:space="preserve">6.2  </w:t>
      </w:r>
      <w:r>
        <w:rPr>
          <w:bCs/>
        </w:rPr>
        <w:t>规章制度</w:t>
      </w:r>
      <w:r>
        <w:tab/>
      </w:r>
      <w:r>
        <w:fldChar w:fldCharType="begin"/>
      </w:r>
      <w:r>
        <w:instrText xml:space="preserve"> PAGEREF _Toc21457 </w:instrText>
      </w:r>
      <w:r>
        <w:fldChar w:fldCharType="separate"/>
      </w:r>
      <w:r>
        <w:t>- 40 -</w:t>
      </w:r>
      <w:r>
        <w:fldChar w:fldCharType="end"/>
      </w:r>
      <w:r>
        <w:fldChar w:fldCharType="end"/>
      </w:r>
    </w:p>
    <w:p>
      <w:pPr>
        <w:pStyle w:val="28"/>
        <w:tabs>
          <w:tab w:val="right" w:leader="dot" w:pos="8306"/>
        </w:tabs>
      </w:pPr>
      <w:r>
        <w:fldChar w:fldCharType="begin"/>
      </w:r>
      <w:r>
        <w:instrText xml:space="preserve"> HYPERLINK \l _Toc11749 </w:instrText>
      </w:r>
      <w:r>
        <w:fldChar w:fldCharType="separate"/>
      </w:r>
      <w:r>
        <w:rPr>
          <w:rFonts w:hint="eastAsia"/>
          <w:bCs/>
        </w:rPr>
        <w:t xml:space="preserve">6.3  </w:t>
      </w:r>
      <w:r>
        <w:rPr>
          <w:bCs/>
        </w:rPr>
        <w:t>建设管理</w:t>
      </w:r>
      <w:r>
        <w:tab/>
      </w:r>
      <w:r>
        <w:fldChar w:fldCharType="begin"/>
      </w:r>
      <w:r>
        <w:instrText xml:space="preserve"> PAGEREF _Toc11749 </w:instrText>
      </w:r>
      <w:r>
        <w:fldChar w:fldCharType="separate"/>
      </w:r>
      <w:r>
        <w:t>- 41 -</w:t>
      </w:r>
      <w:r>
        <w:fldChar w:fldCharType="end"/>
      </w:r>
      <w:r>
        <w:fldChar w:fldCharType="end"/>
      </w:r>
    </w:p>
    <w:p>
      <w:pPr>
        <w:pStyle w:val="28"/>
        <w:tabs>
          <w:tab w:val="right" w:leader="dot" w:pos="8306"/>
        </w:tabs>
      </w:pPr>
      <w:r>
        <w:fldChar w:fldCharType="begin"/>
      </w:r>
      <w:r>
        <w:instrText xml:space="preserve"> HYPERLINK \l _Toc30316 </w:instrText>
      </w:r>
      <w:r>
        <w:fldChar w:fldCharType="separate"/>
      </w:r>
      <w:r>
        <w:rPr>
          <w:rFonts w:hint="eastAsia"/>
          <w:bCs/>
        </w:rPr>
        <w:t xml:space="preserve">6.4  </w:t>
      </w:r>
      <w:r>
        <w:rPr>
          <w:bCs/>
        </w:rPr>
        <w:t>水土保持监测</w:t>
      </w:r>
      <w:r>
        <w:tab/>
      </w:r>
      <w:r>
        <w:fldChar w:fldCharType="begin"/>
      </w:r>
      <w:r>
        <w:instrText xml:space="preserve"> PAGEREF _Toc30316 </w:instrText>
      </w:r>
      <w:r>
        <w:fldChar w:fldCharType="separate"/>
      </w:r>
      <w:r>
        <w:t>- 42 -</w:t>
      </w:r>
      <w:r>
        <w:fldChar w:fldCharType="end"/>
      </w:r>
      <w:r>
        <w:fldChar w:fldCharType="end"/>
      </w:r>
    </w:p>
    <w:p>
      <w:pPr>
        <w:pStyle w:val="28"/>
        <w:tabs>
          <w:tab w:val="right" w:leader="dot" w:pos="8306"/>
        </w:tabs>
      </w:pPr>
      <w:r>
        <w:fldChar w:fldCharType="begin"/>
      </w:r>
      <w:r>
        <w:instrText xml:space="preserve"> HYPERLINK \l _Toc3650 </w:instrText>
      </w:r>
      <w:r>
        <w:fldChar w:fldCharType="separate"/>
      </w:r>
      <w:r>
        <w:rPr>
          <w:rFonts w:hint="eastAsia"/>
          <w:bCs/>
        </w:rPr>
        <w:t xml:space="preserve">6.5  </w:t>
      </w:r>
      <w:r>
        <w:rPr>
          <w:bCs/>
        </w:rPr>
        <w:t>水土保持监理</w:t>
      </w:r>
      <w:r>
        <w:tab/>
      </w:r>
      <w:r>
        <w:fldChar w:fldCharType="begin"/>
      </w:r>
      <w:r>
        <w:instrText xml:space="preserve"> PAGEREF _Toc3650 </w:instrText>
      </w:r>
      <w:r>
        <w:fldChar w:fldCharType="separate"/>
      </w:r>
      <w:r>
        <w:t>- 43 -</w:t>
      </w:r>
      <w:r>
        <w:fldChar w:fldCharType="end"/>
      </w:r>
      <w:r>
        <w:fldChar w:fldCharType="end"/>
      </w:r>
    </w:p>
    <w:p>
      <w:pPr>
        <w:pStyle w:val="28"/>
        <w:tabs>
          <w:tab w:val="right" w:leader="dot" w:pos="8306"/>
        </w:tabs>
      </w:pPr>
      <w:r>
        <w:fldChar w:fldCharType="begin"/>
      </w:r>
      <w:r>
        <w:instrText xml:space="preserve"> HYPERLINK \l _Toc20847 </w:instrText>
      </w:r>
      <w:r>
        <w:fldChar w:fldCharType="separate"/>
      </w:r>
      <w:r>
        <w:rPr>
          <w:rFonts w:hint="eastAsia"/>
          <w:bCs/>
        </w:rPr>
        <w:t xml:space="preserve">6.6  </w:t>
      </w:r>
      <w:r>
        <w:rPr>
          <w:bCs/>
        </w:rPr>
        <w:t>水行政主管部门监督检查意见落实情况</w:t>
      </w:r>
      <w:r>
        <w:tab/>
      </w:r>
      <w:r>
        <w:fldChar w:fldCharType="begin"/>
      </w:r>
      <w:r>
        <w:instrText xml:space="preserve"> PAGEREF _Toc20847 </w:instrText>
      </w:r>
      <w:r>
        <w:fldChar w:fldCharType="separate"/>
      </w:r>
      <w:r>
        <w:t>- 47 -</w:t>
      </w:r>
      <w:r>
        <w:fldChar w:fldCharType="end"/>
      </w:r>
      <w:r>
        <w:fldChar w:fldCharType="end"/>
      </w:r>
    </w:p>
    <w:p>
      <w:pPr>
        <w:pStyle w:val="28"/>
        <w:tabs>
          <w:tab w:val="right" w:leader="dot" w:pos="8306"/>
        </w:tabs>
      </w:pPr>
      <w:r>
        <w:fldChar w:fldCharType="begin"/>
      </w:r>
      <w:r>
        <w:instrText xml:space="preserve"> HYPERLINK \l _Toc2826 </w:instrText>
      </w:r>
      <w:r>
        <w:fldChar w:fldCharType="separate"/>
      </w:r>
      <w:r>
        <w:rPr>
          <w:rFonts w:hint="eastAsia"/>
          <w:bCs/>
        </w:rPr>
        <w:t xml:space="preserve">6.7  </w:t>
      </w:r>
      <w:r>
        <w:rPr>
          <w:bCs/>
        </w:rPr>
        <w:t>水土保持补偿费缴纳情况</w:t>
      </w:r>
      <w:r>
        <w:tab/>
      </w:r>
      <w:r>
        <w:fldChar w:fldCharType="begin"/>
      </w:r>
      <w:r>
        <w:instrText xml:space="preserve"> PAGEREF _Toc2826 </w:instrText>
      </w:r>
      <w:r>
        <w:fldChar w:fldCharType="separate"/>
      </w:r>
      <w:r>
        <w:t>- 47 -</w:t>
      </w:r>
      <w:r>
        <w:fldChar w:fldCharType="end"/>
      </w:r>
      <w:r>
        <w:fldChar w:fldCharType="end"/>
      </w:r>
    </w:p>
    <w:p>
      <w:pPr>
        <w:pStyle w:val="28"/>
        <w:tabs>
          <w:tab w:val="right" w:leader="dot" w:pos="8306"/>
        </w:tabs>
      </w:pPr>
      <w:r>
        <w:fldChar w:fldCharType="begin"/>
      </w:r>
      <w:r>
        <w:instrText xml:space="preserve"> HYPERLINK \l _Toc11073 </w:instrText>
      </w:r>
      <w:r>
        <w:fldChar w:fldCharType="separate"/>
      </w:r>
      <w:r>
        <w:rPr>
          <w:rFonts w:hint="eastAsia"/>
          <w:bCs/>
        </w:rPr>
        <w:t xml:space="preserve">6.8  </w:t>
      </w:r>
      <w:r>
        <w:rPr>
          <w:bCs/>
        </w:rPr>
        <w:t>水土保持设施管理维护</w:t>
      </w:r>
      <w:r>
        <w:tab/>
      </w:r>
      <w:r>
        <w:fldChar w:fldCharType="begin"/>
      </w:r>
      <w:r>
        <w:instrText xml:space="preserve"> PAGEREF _Toc11073 </w:instrText>
      </w:r>
      <w:r>
        <w:fldChar w:fldCharType="separate"/>
      </w:r>
      <w:r>
        <w:t>- 47 -</w:t>
      </w:r>
      <w:r>
        <w:fldChar w:fldCharType="end"/>
      </w:r>
      <w:r>
        <w:fldChar w:fldCharType="end"/>
      </w:r>
    </w:p>
    <w:p>
      <w:pPr>
        <w:pStyle w:val="25"/>
        <w:tabs>
          <w:tab w:val="right" w:leader="dot" w:pos="8306"/>
        </w:tabs>
      </w:pPr>
      <w:r>
        <w:fldChar w:fldCharType="begin"/>
      </w:r>
      <w:r>
        <w:instrText xml:space="preserve"> HYPERLINK \l _Toc8246 </w:instrText>
      </w:r>
      <w:r>
        <w:fldChar w:fldCharType="separate"/>
      </w:r>
      <w:r>
        <w:rPr>
          <w:rFonts w:hint="eastAsia" w:ascii="Times New Roman" w:hAnsi="Times New Roman" w:cs="Times New Roman"/>
          <w:bCs w:val="0"/>
          <w:i w:val="0"/>
          <w:iCs w:val="0"/>
          <w:caps w:val="0"/>
          <w:smallCaps w:val="0"/>
          <w:strike w:val="0"/>
          <w:dstrike w:val="0"/>
          <w:outline w:val="0"/>
          <w:shadow w:val="0"/>
          <w:emboss w:val="0"/>
          <w:imprint w:val="0"/>
          <w:snapToGrid w:val="0"/>
          <w:vanish w:val="0"/>
          <w:spacing w:val="0"/>
          <w:w w:val="0"/>
          <w:kern w:val="0"/>
          <w:position w:val="0"/>
          <w:szCs w:val="0"/>
          <w:vertAlign w:val="baseline"/>
        </w:rPr>
        <w:t xml:space="preserve">7 </w:t>
      </w:r>
      <w:r>
        <w:t>结论</w:t>
      </w:r>
      <w:r>
        <w:tab/>
      </w:r>
      <w:r>
        <w:fldChar w:fldCharType="begin"/>
      </w:r>
      <w:r>
        <w:instrText xml:space="preserve"> PAGEREF _Toc8246 </w:instrText>
      </w:r>
      <w:r>
        <w:fldChar w:fldCharType="separate"/>
      </w:r>
      <w:r>
        <w:t>- 50 -</w:t>
      </w:r>
      <w:r>
        <w:fldChar w:fldCharType="end"/>
      </w:r>
      <w:r>
        <w:fldChar w:fldCharType="end"/>
      </w:r>
    </w:p>
    <w:p>
      <w:pPr>
        <w:pStyle w:val="28"/>
        <w:tabs>
          <w:tab w:val="right" w:leader="dot" w:pos="8306"/>
        </w:tabs>
      </w:pPr>
      <w:r>
        <w:fldChar w:fldCharType="begin"/>
      </w:r>
      <w:r>
        <w:instrText xml:space="preserve"> HYPERLINK \l _Toc19065 </w:instrText>
      </w:r>
      <w:r>
        <w:fldChar w:fldCharType="separate"/>
      </w:r>
      <w:r>
        <w:rPr>
          <w:rFonts w:hint="eastAsia"/>
          <w:bCs/>
        </w:rPr>
        <w:t xml:space="preserve">7.1  </w:t>
      </w:r>
      <w:r>
        <w:rPr>
          <w:bCs/>
        </w:rPr>
        <w:t>结论</w:t>
      </w:r>
      <w:r>
        <w:tab/>
      </w:r>
      <w:r>
        <w:fldChar w:fldCharType="begin"/>
      </w:r>
      <w:r>
        <w:instrText xml:space="preserve"> PAGEREF _Toc19065 </w:instrText>
      </w:r>
      <w:r>
        <w:fldChar w:fldCharType="separate"/>
      </w:r>
      <w:r>
        <w:t>- 50 -</w:t>
      </w:r>
      <w:r>
        <w:fldChar w:fldCharType="end"/>
      </w:r>
      <w:r>
        <w:fldChar w:fldCharType="end"/>
      </w:r>
    </w:p>
    <w:p>
      <w:pPr>
        <w:pStyle w:val="28"/>
        <w:tabs>
          <w:tab w:val="right" w:leader="dot" w:pos="8306"/>
        </w:tabs>
      </w:pPr>
      <w:r>
        <w:fldChar w:fldCharType="begin"/>
      </w:r>
      <w:r>
        <w:instrText xml:space="preserve"> HYPERLINK \l _Toc21113 </w:instrText>
      </w:r>
      <w:r>
        <w:fldChar w:fldCharType="separate"/>
      </w:r>
      <w:r>
        <w:rPr>
          <w:rFonts w:hint="eastAsia"/>
          <w:bCs/>
        </w:rPr>
        <w:t xml:space="preserve">7.2  </w:t>
      </w:r>
      <w:r>
        <w:rPr>
          <w:bCs/>
        </w:rPr>
        <w:t>遗留问题安排</w:t>
      </w:r>
      <w:r>
        <w:tab/>
      </w:r>
      <w:r>
        <w:fldChar w:fldCharType="begin"/>
      </w:r>
      <w:r>
        <w:instrText xml:space="preserve"> PAGEREF _Toc21113 </w:instrText>
      </w:r>
      <w:r>
        <w:fldChar w:fldCharType="separate"/>
      </w:r>
      <w:r>
        <w:t>- 51 -</w:t>
      </w:r>
      <w:r>
        <w:fldChar w:fldCharType="end"/>
      </w:r>
      <w:r>
        <w:fldChar w:fldCharType="end"/>
      </w:r>
    </w:p>
    <w:p>
      <w:pPr>
        <w:pStyle w:val="25"/>
        <w:tabs>
          <w:tab w:val="right" w:leader="dot" w:pos="8306"/>
        </w:tabs>
      </w:pPr>
      <w:r>
        <w:fldChar w:fldCharType="begin"/>
      </w:r>
      <w:r>
        <w:instrText xml:space="preserve"> HYPERLINK \l _Toc32658 </w:instrText>
      </w:r>
      <w:r>
        <w:fldChar w:fldCharType="separate"/>
      </w:r>
      <w:r>
        <w:rPr>
          <w:rFonts w:hint="eastAsia" w:ascii="Times New Roman" w:hAnsi="Times New Roman" w:cs="Times New Roman"/>
          <w:bCs w:val="0"/>
          <w:i w:val="0"/>
          <w:iCs w:val="0"/>
          <w:caps w:val="0"/>
          <w:smallCaps w:val="0"/>
          <w:strike w:val="0"/>
          <w:dstrike w:val="0"/>
          <w:outline w:val="0"/>
          <w:shadow w:val="0"/>
          <w:emboss w:val="0"/>
          <w:imprint w:val="0"/>
          <w:snapToGrid w:val="0"/>
          <w:vanish w:val="0"/>
          <w:spacing w:val="0"/>
          <w:w w:val="0"/>
          <w:kern w:val="0"/>
          <w:position w:val="0"/>
          <w:szCs w:val="0"/>
          <w:vertAlign w:val="baseline"/>
        </w:rPr>
        <w:t xml:space="preserve">8 </w:t>
      </w:r>
      <w:r>
        <w:t>附件及附图</w:t>
      </w:r>
      <w:r>
        <w:tab/>
      </w:r>
      <w:r>
        <w:fldChar w:fldCharType="begin"/>
      </w:r>
      <w:r>
        <w:instrText xml:space="preserve"> PAGEREF _Toc32658 </w:instrText>
      </w:r>
      <w:r>
        <w:fldChar w:fldCharType="separate"/>
      </w:r>
      <w:r>
        <w:t>- 52 -</w:t>
      </w:r>
      <w:r>
        <w:fldChar w:fldCharType="end"/>
      </w:r>
      <w:r>
        <w:fldChar w:fldCharType="end"/>
      </w:r>
    </w:p>
    <w:p>
      <w:pPr>
        <w:pStyle w:val="28"/>
        <w:tabs>
          <w:tab w:val="right" w:leader="dot" w:pos="8306"/>
        </w:tabs>
      </w:pPr>
      <w:r>
        <w:fldChar w:fldCharType="begin"/>
      </w:r>
      <w:r>
        <w:instrText xml:space="preserve"> HYPERLINK \l _Toc23725 </w:instrText>
      </w:r>
      <w:r>
        <w:fldChar w:fldCharType="separate"/>
      </w:r>
      <w:r>
        <w:rPr>
          <w:rFonts w:hint="eastAsia"/>
          <w:bCs/>
        </w:rPr>
        <w:t xml:space="preserve">8.1  </w:t>
      </w:r>
      <w:r>
        <w:rPr>
          <w:bCs/>
        </w:rPr>
        <w:t>附件</w:t>
      </w:r>
      <w:r>
        <w:tab/>
      </w:r>
      <w:r>
        <w:fldChar w:fldCharType="begin"/>
      </w:r>
      <w:r>
        <w:instrText xml:space="preserve"> PAGEREF _Toc23725 </w:instrText>
      </w:r>
      <w:r>
        <w:fldChar w:fldCharType="separate"/>
      </w:r>
      <w:r>
        <w:t>- 52 -</w:t>
      </w:r>
      <w:r>
        <w:fldChar w:fldCharType="end"/>
      </w:r>
      <w:r>
        <w:fldChar w:fldCharType="end"/>
      </w:r>
    </w:p>
    <w:p>
      <w:pPr>
        <w:pStyle w:val="28"/>
        <w:tabs>
          <w:tab w:val="right" w:leader="dot" w:pos="8306"/>
        </w:tabs>
      </w:pPr>
      <w:r>
        <w:fldChar w:fldCharType="begin"/>
      </w:r>
      <w:r>
        <w:instrText xml:space="preserve"> HYPERLINK \l _Toc15646 </w:instrText>
      </w:r>
      <w:r>
        <w:fldChar w:fldCharType="separate"/>
      </w:r>
      <w:r>
        <w:rPr>
          <w:rFonts w:hint="eastAsia"/>
          <w:bCs/>
        </w:rPr>
        <w:t>8.2  附图</w:t>
      </w:r>
      <w:r>
        <w:tab/>
      </w:r>
      <w:r>
        <w:fldChar w:fldCharType="begin"/>
      </w:r>
      <w:r>
        <w:instrText xml:space="preserve"> PAGEREF _Toc15646 </w:instrText>
      </w:r>
      <w:r>
        <w:fldChar w:fldCharType="separate"/>
      </w:r>
      <w:r>
        <w:t>- 52 -</w:t>
      </w:r>
      <w:r>
        <w:fldChar w:fldCharType="end"/>
      </w:r>
      <w:r>
        <w:fldChar w:fldCharType="end"/>
      </w:r>
    </w:p>
    <w:p>
      <w:pPr>
        <w:spacing w:before="120"/>
        <w:ind w:firstLine="480"/>
        <w:sectPr>
          <w:headerReference r:id="rId19" w:type="default"/>
          <w:footerReference r:id="rId20" w:type="default"/>
          <w:pgSz w:w="11906" w:h="16838"/>
          <w:pgMar w:top="1440" w:right="1800" w:bottom="1440" w:left="1800" w:header="708" w:footer="708" w:gutter="0"/>
          <w:pgBorders>
            <w:top w:val="none" w:sz="0" w:space="0"/>
            <w:left w:val="none" w:sz="0" w:space="0"/>
            <w:bottom w:val="none" w:sz="0" w:space="0"/>
            <w:right w:val="none" w:sz="0" w:space="0"/>
          </w:pgBorders>
          <w:pgNumType w:start="1"/>
          <w:cols w:space="708" w:num="1"/>
          <w:docGrid w:linePitch="360" w:charSpace="0"/>
        </w:sectPr>
      </w:pPr>
      <w:r>
        <w:fldChar w:fldCharType="end"/>
      </w:r>
    </w:p>
    <w:p>
      <w:pPr>
        <w:pStyle w:val="3"/>
      </w:pPr>
      <w:bookmarkStart w:id="12" w:name="_Toc24536"/>
      <w:r>
        <w:t>项目及项目区概况</w:t>
      </w:r>
      <w:bookmarkEnd w:id="12"/>
    </w:p>
    <w:p>
      <w:pPr>
        <w:pStyle w:val="2"/>
        <w:spacing w:before="120" w:after="120"/>
        <w:ind w:firstLine="0" w:firstLineChars="0"/>
        <w:rPr>
          <w:b/>
          <w:bCs/>
        </w:rPr>
      </w:pPr>
      <w:bookmarkStart w:id="13" w:name="_Toc12267"/>
      <w:r>
        <w:rPr>
          <w:rFonts w:hint="eastAsia"/>
          <w:b/>
          <w:bCs/>
        </w:rPr>
        <w:t xml:space="preserve">1.1  </w:t>
      </w:r>
      <w:r>
        <w:rPr>
          <w:b/>
          <w:bCs/>
        </w:rPr>
        <w:t>项目概况</w:t>
      </w:r>
      <w:bookmarkEnd w:id="13"/>
    </w:p>
    <w:p>
      <w:pPr>
        <w:pStyle w:val="4"/>
        <w:spacing w:before="120"/>
      </w:pPr>
      <w:r>
        <w:t>地理位置</w:t>
      </w:r>
    </w:p>
    <w:p>
      <w:pPr>
        <w:spacing w:before="120"/>
        <w:ind w:firstLine="480"/>
        <w:rPr>
          <w:szCs w:val="22"/>
        </w:rPr>
      </w:pPr>
      <w:bookmarkStart w:id="14" w:name="_Toc515294434"/>
      <w:r>
        <w:rPr>
          <w:rFonts w:hint="eastAsia"/>
          <w:lang w:eastAsia="zh-CN"/>
        </w:rPr>
        <w:t>甘孜康定新都桥220kV临时变35kV配套工程</w:t>
      </w:r>
      <w:r>
        <w:t>位于</w:t>
      </w:r>
      <w:r>
        <w:rPr>
          <w:rFonts w:hint="eastAsia"/>
        </w:rPr>
        <w:t>四川省甘孜州</w:t>
      </w:r>
      <w:r>
        <w:rPr>
          <w:rFonts w:hint="eastAsia" w:cs="Times New Roman"/>
          <w:lang w:eastAsia="zh-CN"/>
        </w:rPr>
        <w:t>康定市瓦泽乡瓦泽村境内，站址位于500kV新都桥变电站外进站道路与站外护坡之间一块狭长空地上。项目西临G318国道，交通</w:t>
      </w:r>
      <w:r>
        <w:rPr>
          <w:rFonts w:hint="eastAsia" w:cs="Times New Roman"/>
          <w:lang w:val="en-US" w:eastAsia="zh-CN"/>
        </w:rPr>
        <w:t>较为</w:t>
      </w:r>
      <w:r>
        <w:rPr>
          <w:rFonts w:hint="eastAsia" w:cs="Times New Roman"/>
          <w:lang w:eastAsia="zh-CN"/>
        </w:rPr>
        <w:t>便利</w:t>
      </w:r>
      <w:r>
        <w:rPr>
          <w:szCs w:val="22"/>
        </w:rPr>
        <w:t>。</w:t>
      </w:r>
    </w:p>
    <w:p>
      <w:pPr>
        <w:pStyle w:val="4"/>
        <w:spacing w:before="120"/>
      </w:pPr>
      <w:r>
        <w:t>主要技术指标</w:t>
      </w:r>
      <w:bookmarkEnd w:id="14"/>
    </w:p>
    <w:p>
      <w:pPr>
        <w:spacing w:before="120"/>
        <w:ind w:firstLine="480"/>
        <w:rPr>
          <w:rFonts w:hint="eastAsia" w:eastAsia="仿宋_GB2312"/>
          <w:lang w:eastAsia="zh-CN"/>
        </w:rPr>
      </w:pPr>
      <w:r>
        <w:t>项目名称：</w:t>
      </w:r>
      <w:r>
        <w:rPr>
          <w:rFonts w:hint="eastAsia"/>
          <w:lang w:eastAsia="zh-CN"/>
        </w:rPr>
        <w:t>甘孜康定新都桥220kV临时变35kV配套工程</w:t>
      </w:r>
    </w:p>
    <w:p>
      <w:pPr>
        <w:spacing w:before="120"/>
        <w:ind w:firstLine="480"/>
      </w:pPr>
      <w:r>
        <w:t>建设地点：</w:t>
      </w:r>
      <w:r>
        <w:rPr>
          <w:rFonts w:hint="eastAsia"/>
        </w:rPr>
        <w:t>甘孜州</w:t>
      </w:r>
      <w:r>
        <w:rPr>
          <w:rFonts w:hint="eastAsia" w:cs="Times New Roman"/>
          <w:lang w:eastAsia="zh-CN"/>
        </w:rPr>
        <w:t>康定市瓦泽乡瓦泽村</w:t>
      </w:r>
    </w:p>
    <w:p>
      <w:pPr>
        <w:spacing w:before="120"/>
        <w:ind w:firstLine="480"/>
      </w:pPr>
      <w:r>
        <w:t>建设性质：新建建设类</w:t>
      </w:r>
    </w:p>
    <w:p>
      <w:pPr>
        <w:spacing w:before="120"/>
        <w:ind w:firstLine="480"/>
      </w:pPr>
      <w:r>
        <w:t>建设单位：国网四川省电力公司</w:t>
      </w:r>
      <w:r>
        <w:rPr>
          <w:rFonts w:hint="eastAsia"/>
        </w:rPr>
        <w:t>甘孜供电公司</w:t>
      </w:r>
    </w:p>
    <w:p>
      <w:pPr>
        <w:spacing w:before="120"/>
        <w:ind w:firstLine="480"/>
      </w:pPr>
      <w:r>
        <w:t>建设周期：</w:t>
      </w:r>
      <w:r>
        <w:rPr>
          <w:rFonts w:hint="eastAsia"/>
          <w:lang w:val="en-US" w:eastAsia="zh-CN"/>
        </w:rPr>
        <w:t>10</w:t>
      </w:r>
      <w:r>
        <w:t>个月（2019年</w:t>
      </w:r>
      <w:r>
        <w:rPr>
          <w:rFonts w:hint="eastAsia"/>
        </w:rPr>
        <w:t>1</w:t>
      </w:r>
      <w:r>
        <w:rPr>
          <w:rFonts w:hint="eastAsia"/>
          <w:lang w:val="en-US" w:eastAsia="zh-CN"/>
        </w:rPr>
        <w:t>0</w:t>
      </w:r>
      <w:r>
        <w:t>月</w:t>
      </w:r>
      <w:r>
        <w:rPr>
          <w:rFonts w:hint="eastAsia"/>
          <w:lang w:val="en-US" w:eastAsia="zh-CN"/>
        </w:rPr>
        <w:t>8</w:t>
      </w:r>
      <w:r>
        <w:t>日至20</w:t>
      </w:r>
      <w:r>
        <w:rPr>
          <w:rFonts w:hint="eastAsia"/>
        </w:rPr>
        <w:t>20</w:t>
      </w:r>
      <w:r>
        <w:t>年</w:t>
      </w:r>
      <w:r>
        <w:rPr>
          <w:rFonts w:hint="eastAsia"/>
          <w:lang w:val="en-US" w:eastAsia="zh-CN"/>
        </w:rPr>
        <w:t>8</w:t>
      </w:r>
      <w:r>
        <w:t>月</w:t>
      </w:r>
      <w:r>
        <w:rPr>
          <w:rFonts w:hint="eastAsia"/>
          <w:lang w:val="en-US" w:eastAsia="zh-CN"/>
        </w:rPr>
        <w:t>9</w:t>
      </w:r>
      <w:r>
        <w:t>日）</w:t>
      </w:r>
    </w:p>
    <w:p>
      <w:pPr>
        <w:spacing w:before="120"/>
        <w:ind w:firstLine="504"/>
      </w:pPr>
      <w:r>
        <w:rPr>
          <w:spacing w:val="6"/>
        </w:rPr>
        <w:t>总</w:t>
      </w:r>
      <w:r>
        <w:rPr>
          <w:rFonts w:hint="eastAsia"/>
          <w:spacing w:val="6"/>
        </w:rPr>
        <w:t>占地</w:t>
      </w:r>
      <w:r>
        <w:rPr>
          <w:spacing w:val="6"/>
        </w:rPr>
        <w:t>面积：</w:t>
      </w:r>
      <w:r>
        <w:rPr>
          <w:rFonts w:hint="eastAsia"/>
          <w:lang w:val="en-US" w:eastAsia="zh-CN"/>
        </w:rPr>
        <w:t>0.25</w:t>
      </w:r>
      <w:r>
        <w:t>hm</w:t>
      </w:r>
      <w:r>
        <w:rPr>
          <w:vertAlign w:val="superscript"/>
        </w:rPr>
        <w:t>2</w:t>
      </w:r>
    </w:p>
    <w:p>
      <w:pPr>
        <w:spacing w:before="120"/>
        <w:ind w:firstLine="480"/>
        <w:rPr>
          <w:lang w:val="zh-CN"/>
        </w:rPr>
      </w:pPr>
      <w:r>
        <w:rPr>
          <w:lang w:val="zh-CN"/>
        </w:rPr>
        <w:t>工程参建单位：见表1.1-1</w:t>
      </w:r>
    </w:p>
    <w:p>
      <w:pPr>
        <w:pStyle w:val="58"/>
        <w:spacing w:before="120"/>
        <w:rPr>
          <w:color w:val="auto"/>
        </w:rPr>
      </w:pPr>
      <w:r>
        <w:rPr>
          <w:color w:val="auto"/>
        </w:rPr>
        <w:t>工程参</w:t>
      </w:r>
      <w:r>
        <w:rPr>
          <w:rFonts w:hint="eastAsia"/>
          <w:color w:val="auto"/>
        </w:rPr>
        <w:t>建</w:t>
      </w:r>
      <w:r>
        <w:rPr>
          <w:color w:val="auto"/>
        </w:rPr>
        <w:t>单位一览表</w:t>
      </w:r>
    </w:p>
    <w:p>
      <w:pPr>
        <w:pStyle w:val="13"/>
        <w:keepNext/>
      </w:pPr>
      <w:r>
        <w:t xml:space="preserve">表 </w:t>
      </w:r>
      <w:r>
        <w:rPr>
          <w:rFonts w:hint="eastAsia"/>
        </w:rPr>
        <w:t>1.1</w:t>
      </w:r>
      <w:r>
        <w:noBreakHyphen/>
      </w:r>
      <w:r>
        <w:fldChar w:fldCharType="begin"/>
      </w:r>
      <w:r>
        <w:instrText xml:space="preserve"> SEQ 表 \* ARABIC \s 2 </w:instrText>
      </w:r>
      <w:r>
        <w:fldChar w:fldCharType="separate"/>
      </w:r>
      <w:r>
        <w:t>1</w:t>
      </w:r>
      <w:r>
        <w:fldChar w:fldCharType="end"/>
      </w:r>
    </w:p>
    <w:tbl>
      <w:tblPr>
        <w:tblStyle w:val="3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2"/>
        <w:gridCol w:w="5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42" w:type="dxa"/>
            <w:vAlign w:val="center"/>
          </w:tcPr>
          <w:p>
            <w:pPr>
              <w:pStyle w:val="53"/>
              <w:keepNext w:val="0"/>
              <w:keepLines w:val="0"/>
              <w:widowControl/>
              <w:suppressLineNumbers w:val="0"/>
              <w:spacing w:before="0" w:beforeAutospacing="0" w:after="0" w:afterAutospacing="0"/>
              <w:ind w:left="0" w:right="0"/>
              <w:rPr>
                <w:rFonts w:cs="Times New Roman"/>
                <w:color w:val="auto"/>
              </w:rPr>
            </w:pPr>
            <w:r>
              <w:rPr>
                <w:rFonts w:cs="Times New Roman"/>
                <w:color w:val="auto"/>
              </w:rPr>
              <w:t>单位类别</w:t>
            </w:r>
          </w:p>
        </w:tc>
        <w:tc>
          <w:tcPr>
            <w:tcW w:w="5480" w:type="dxa"/>
            <w:vAlign w:val="center"/>
          </w:tcPr>
          <w:p>
            <w:pPr>
              <w:pStyle w:val="53"/>
              <w:keepNext w:val="0"/>
              <w:keepLines w:val="0"/>
              <w:widowControl/>
              <w:suppressLineNumbers w:val="0"/>
              <w:spacing w:before="0" w:beforeAutospacing="0" w:after="0" w:afterAutospacing="0"/>
              <w:ind w:left="0" w:right="0"/>
              <w:rPr>
                <w:rFonts w:cs="Times New Roman"/>
                <w:color w:val="auto"/>
              </w:rPr>
            </w:pPr>
            <w:r>
              <w:rPr>
                <w:rFonts w:cs="Times New Roman"/>
                <w:color w:val="auto"/>
              </w:rPr>
              <w:t>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42" w:type="dxa"/>
            <w:vAlign w:val="center"/>
          </w:tcPr>
          <w:p>
            <w:pPr>
              <w:pStyle w:val="53"/>
              <w:keepNext w:val="0"/>
              <w:keepLines w:val="0"/>
              <w:widowControl/>
              <w:suppressLineNumbers w:val="0"/>
              <w:spacing w:before="0" w:beforeAutospacing="0" w:after="0" w:afterAutospacing="0"/>
              <w:ind w:left="0" w:right="0"/>
              <w:rPr>
                <w:rFonts w:cs="Times New Roman"/>
                <w:color w:val="auto"/>
              </w:rPr>
            </w:pPr>
            <w:r>
              <w:rPr>
                <w:rFonts w:cs="Times New Roman"/>
                <w:color w:val="auto"/>
              </w:rPr>
              <w:t>建设单位</w:t>
            </w:r>
          </w:p>
        </w:tc>
        <w:tc>
          <w:tcPr>
            <w:tcW w:w="5480" w:type="dxa"/>
            <w:vAlign w:val="center"/>
          </w:tcPr>
          <w:p>
            <w:pPr>
              <w:pStyle w:val="53"/>
              <w:keepNext w:val="0"/>
              <w:keepLines w:val="0"/>
              <w:widowControl/>
              <w:suppressLineNumbers w:val="0"/>
              <w:spacing w:before="0" w:beforeAutospacing="0" w:after="0" w:afterAutospacing="0"/>
              <w:ind w:left="0" w:right="0"/>
              <w:rPr>
                <w:rFonts w:cs="Times New Roman"/>
                <w:color w:val="auto"/>
              </w:rPr>
            </w:pPr>
            <w:r>
              <w:rPr>
                <w:rFonts w:cs="Times New Roman"/>
                <w:color w:val="auto"/>
              </w:rPr>
              <w:t>国网四川省电力公司</w:t>
            </w:r>
            <w:r>
              <w:rPr>
                <w:rFonts w:hint="eastAsia" w:cs="Times New Roman"/>
                <w:color w:val="auto"/>
              </w:rPr>
              <w:t>甘孜供电公司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42" w:type="dxa"/>
            <w:vAlign w:val="center"/>
          </w:tcPr>
          <w:p>
            <w:pPr>
              <w:pStyle w:val="53"/>
              <w:keepNext w:val="0"/>
              <w:keepLines w:val="0"/>
              <w:widowControl/>
              <w:suppressLineNumbers w:val="0"/>
              <w:spacing w:before="0" w:beforeAutospacing="0" w:after="0" w:afterAutospacing="0"/>
              <w:ind w:left="0" w:right="0"/>
              <w:rPr>
                <w:rFonts w:cs="Times New Roman"/>
                <w:color w:val="auto"/>
              </w:rPr>
            </w:pPr>
            <w:r>
              <w:rPr>
                <w:rFonts w:cs="Times New Roman"/>
                <w:color w:val="auto"/>
              </w:rPr>
              <w:t>主体工程设计单位</w:t>
            </w:r>
          </w:p>
        </w:tc>
        <w:tc>
          <w:tcPr>
            <w:tcW w:w="5480" w:type="dxa"/>
            <w:vAlign w:val="center"/>
          </w:tcPr>
          <w:p>
            <w:pPr>
              <w:pStyle w:val="53"/>
              <w:keepNext w:val="0"/>
              <w:keepLines w:val="0"/>
              <w:widowControl/>
              <w:suppressLineNumbers w:val="0"/>
              <w:spacing w:before="0" w:beforeAutospacing="0" w:after="0" w:afterAutospacing="0"/>
              <w:ind w:left="0" w:right="0"/>
              <w:rPr>
                <w:rFonts w:hint="eastAsia" w:eastAsia="仿宋_GB2312" w:cs="Times New Roman"/>
                <w:color w:val="auto"/>
                <w:lang w:eastAsia="zh-CN"/>
              </w:rPr>
            </w:pPr>
            <w:r>
              <w:rPr>
                <w:rFonts w:hint="eastAsia" w:cs="Times New Roman"/>
                <w:color w:val="auto"/>
                <w:lang w:eastAsia="zh-CN"/>
              </w:rPr>
              <w:t>成都城电电力工程设计有限公司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42" w:type="dxa"/>
            <w:vAlign w:val="center"/>
          </w:tcPr>
          <w:p>
            <w:pPr>
              <w:pStyle w:val="53"/>
              <w:keepNext w:val="0"/>
              <w:keepLines w:val="0"/>
              <w:widowControl/>
              <w:suppressLineNumbers w:val="0"/>
              <w:spacing w:before="0" w:beforeAutospacing="0" w:after="0" w:afterAutospacing="0"/>
              <w:ind w:left="0" w:right="0"/>
              <w:rPr>
                <w:rFonts w:cs="Times New Roman"/>
                <w:color w:val="auto"/>
              </w:rPr>
            </w:pPr>
            <w:r>
              <w:rPr>
                <w:rFonts w:cs="Times New Roman"/>
                <w:color w:val="auto"/>
              </w:rPr>
              <w:t>水土保持方案编制单位</w:t>
            </w:r>
          </w:p>
        </w:tc>
        <w:tc>
          <w:tcPr>
            <w:tcW w:w="5480" w:type="dxa"/>
            <w:vAlign w:val="center"/>
          </w:tcPr>
          <w:p>
            <w:pPr>
              <w:pStyle w:val="53"/>
              <w:keepNext w:val="0"/>
              <w:keepLines w:val="0"/>
              <w:widowControl/>
              <w:suppressLineNumbers w:val="0"/>
              <w:spacing w:before="0" w:beforeAutospacing="0" w:after="0" w:afterAutospacing="0"/>
              <w:ind w:left="0" w:right="0"/>
              <w:rPr>
                <w:rFonts w:hint="eastAsia" w:eastAsia="仿宋_GB2312" w:cs="Times New Roman"/>
                <w:color w:val="auto"/>
                <w:lang w:eastAsia="zh-CN"/>
              </w:rPr>
            </w:pPr>
            <w:r>
              <w:rPr>
                <w:rFonts w:hint="eastAsia" w:cs="Times New Roman"/>
                <w:color w:val="auto"/>
                <w:szCs w:val="21"/>
                <w:lang w:eastAsia="zh-CN"/>
              </w:rPr>
              <w:t>浙江中水工程技术有限公司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42" w:type="dxa"/>
            <w:vAlign w:val="center"/>
          </w:tcPr>
          <w:p>
            <w:pPr>
              <w:pStyle w:val="53"/>
              <w:keepNext w:val="0"/>
              <w:keepLines w:val="0"/>
              <w:widowControl/>
              <w:suppressLineNumbers w:val="0"/>
              <w:spacing w:before="0" w:beforeAutospacing="0" w:after="0" w:afterAutospacing="0"/>
              <w:ind w:left="0" w:right="0"/>
              <w:rPr>
                <w:rFonts w:cs="Times New Roman"/>
                <w:color w:val="auto"/>
              </w:rPr>
            </w:pPr>
            <w:r>
              <w:rPr>
                <w:rFonts w:cs="Times New Roman"/>
                <w:color w:val="auto"/>
              </w:rPr>
              <w:t>主体工程及水土保持监理单位</w:t>
            </w:r>
          </w:p>
        </w:tc>
        <w:tc>
          <w:tcPr>
            <w:tcW w:w="5480" w:type="dxa"/>
            <w:vAlign w:val="center"/>
          </w:tcPr>
          <w:p>
            <w:pPr>
              <w:pStyle w:val="53"/>
              <w:keepNext w:val="0"/>
              <w:keepLines w:val="0"/>
              <w:widowControl/>
              <w:suppressLineNumbers w:val="0"/>
              <w:spacing w:before="0" w:beforeAutospacing="0" w:after="0" w:afterAutospacing="0"/>
              <w:ind w:left="0" w:right="0"/>
              <w:rPr>
                <w:rFonts w:hint="eastAsia" w:eastAsia="仿宋_GB2312" w:cs="Times New Roman"/>
                <w:color w:val="auto"/>
                <w:lang w:eastAsia="zh-CN"/>
              </w:rPr>
            </w:pPr>
            <w:r>
              <w:rPr>
                <w:rFonts w:hint="eastAsia" w:cs="Times New Roman"/>
                <w:color w:val="auto"/>
                <w:szCs w:val="21"/>
                <w:lang w:eastAsia="zh-CN"/>
              </w:rPr>
              <w:t>四川东祥工程项目管理有限责任公司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42" w:type="dxa"/>
            <w:vAlign w:val="center"/>
          </w:tcPr>
          <w:p>
            <w:pPr>
              <w:pStyle w:val="53"/>
              <w:keepNext w:val="0"/>
              <w:keepLines w:val="0"/>
              <w:widowControl/>
              <w:suppressLineNumbers w:val="0"/>
              <w:spacing w:before="0" w:beforeAutospacing="0" w:after="0" w:afterAutospacing="0"/>
              <w:ind w:left="0" w:right="0"/>
              <w:rPr>
                <w:rFonts w:cs="Times New Roman"/>
                <w:color w:val="auto"/>
              </w:rPr>
            </w:pPr>
            <w:r>
              <w:rPr>
                <w:rFonts w:cs="Times New Roman"/>
                <w:color w:val="auto"/>
              </w:rPr>
              <w:t>施工单位</w:t>
            </w:r>
          </w:p>
        </w:tc>
        <w:tc>
          <w:tcPr>
            <w:tcW w:w="5480" w:type="dxa"/>
            <w:vAlign w:val="center"/>
          </w:tcPr>
          <w:p>
            <w:pPr>
              <w:pStyle w:val="53"/>
              <w:keepNext w:val="0"/>
              <w:keepLines w:val="0"/>
              <w:widowControl/>
              <w:suppressLineNumbers w:val="0"/>
              <w:spacing w:before="0" w:beforeAutospacing="0" w:after="0" w:afterAutospacing="0"/>
              <w:ind w:left="0" w:right="0"/>
              <w:rPr>
                <w:rFonts w:hint="eastAsia" w:eastAsia="仿宋_GB2312" w:cs="Times New Roman"/>
                <w:color w:val="auto"/>
                <w:lang w:eastAsia="zh-CN"/>
              </w:rPr>
            </w:pPr>
            <w:r>
              <w:rPr>
                <w:rFonts w:hint="eastAsia" w:cs="Times New Roman"/>
                <w:color w:val="auto"/>
                <w:lang w:eastAsia="zh-CN"/>
              </w:rPr>
              <w:t>四川蜀能电力有限公司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042" w:type="dxa"/>
            <w:vAlign w:val="center"/>
          </w:tcPr>
          <w:p>
            <w:pPr>
              <w:pStyle w:val="53"/>
              <w:keepNext w:val="0"/>
              <w:keepLines w:val="0"/>
              <w:widowControl/>
              <w:suppressLineNumbers w:val="0"/>
              <w:spacing w:before="0" w:beforeAutospacing="0" w:after="0" w:afterAutospacing="0"/>
              <w:ind w:left="0" w:right="0"/>
              <w:rPr>
                <w:rFonts w:cs="Times New Roman"/>
                <w:color w:val="auto"/>
              </w:rPr>
            </w:pPr>
            <w:r>
              <w:rPr>
                <w:rFonts w:cs="Times New Roman"/>
                <w:color w:val="auto"/>
              </w:rPr>
              <w:t>水土保持验收报告编制单位</w:t>
            </w:r>
          </w:p>
        </w:tc>
        <w:tc>
          <w:tcPr>
            <w:tcW w:w="5480" w:type="dxa"/>
            <w:vAlign w:val="center"/>
          </w:tcPr>
          <w:p>
            <w:pPr>
              <w:pStyle w:val="53"/>
              <w:keepNext w:val="0"/>
              <w:keepLines w:val="0"/>
              <w:widowControl/>
              <w:suppressLineNumbers w:val="0"/>
              <w:spacing w:before="0" w:beforeAutospacing="0" w:after="0" w:afterAutospacing="0"/>
              <w:ind w:left="0" w:right="0"/>
              <w:rPr>
                <w:rFonts w:cs="Times New Roman"/>
                <w:color w:val="auto"/>
              </w:rPr>
            </w:pPr>
            <w:r>
              <w:rPr>
                <w:rFonts w:hint="eastAsia" w:cs="Times New Roman"/>
                <w:color w:val="auto"/>
              </w:rPr>
              <w:t>成都浚川工程设计咨询有限公司</w:t>
            </w:r>
          </w:p>
        </w:tc>
      </w:tr>
    </w:tbl>
    <w:p>
      <w:pPr>
        <w:spacing w:before="120"/>
        <w:ind w:firstLine="480"/>
      </w:pPr>
      <w:r>
        <w:t>本项目的主要技术指标及项目组成见表1.1-2。</w:t>
      </w:r>
    </w:p>
    <w:p>
      <w:pPr>
        <w:spacing w:before="120"/>
        <w:ind w:firstLine="480"/>
        <w:rPr>
          <w:rFonts w:hint="eastAsia"/>
        </w:rPr>
      </w:pPr>
    </w:p>
    <w:p>
      <w:pPr>
        <w:spacing w:before="120"/>
        <w:ind w:firstLine="480"/>
        <w:rPr>
          <w:rFonts w:hint="eastAsia"/>
        </w:rPr>
      </w:pPr>
    </w:p>
    <w:p>
      <w:pPr>
        <w:spacing w:before="120"/>
        <w:ind w:firstLine="480"/>
        <w:rPr>
          <w:rFonts w:hint="eastAsia"/>
        </w:rPr>
      </w:pPr>
    </w:p>
    <w:p>
      <w:pPr>
        <w:pStyle w:val="16"/>
      </w:pPr>
      <w:bookmarkStart w:id="15" w:name="_Toc515294435"/>
      <w:r>
        <w:t>工程项目组成及主要技术指标表</w:t>
      </w:r>
    </w:p>
    <w:p>
      <w:pPr>
        <w:pStyle w:val="13"/>
        <w:keepNext/>
      </w:pPr>
      <w:r>
        <w:t xml:space="preserve">表 </w:t>
      </w:r>
      <w:r>
        <w:rPr>
          <w:rFonts w:hint="eastAsia"/>
        </w:rPr>
        <w:t>1.1</w:t>
      </w:r>
      <w:r>
        <w:noBreakHyphen/>
      </w:r>
      <w:r>
        <w:fldChar w:fldCharType="begin"/>
      </w:r>
      <w:r>
        <w:instrText xml:space="preserve"> SEQ 表 \* ARABIC \s 2 </w:instrText>
      </w:r>
      <w:r>
        <w:fldChar w:fldCharType="separate"/>
      </w:r>
      <w:r>
        <w:t>2</w:t>
      </w:r>
      <w:r>
        <w:fldChar w:fldCharType="end"/>
      </w:r>
    </w:p>
    <w:tbl>
      <w:tblPr>
        <w:tblStyle w:val="32"/>
        <w:tblW w:w="878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0" w:type="dxa"/>
          <w:bottom w:w="0" w:type="dxa"/>
          <w:right w:w="0" w:type="dxa"/>
        </w:tblCellMar>
      </w:tblPr>
      <w:tblGrid>
        <w:gridCol w:w="851"/>
        <w:gridCol w:w="1701"/>
        <w:gridCol w:w="858"/>
        <w:gridCol w:w="988"/>
        <w:gridCol w:w="153"/>
        <w:gridCol w:w="18"/>
        <w:gridCol w:w="1621"/>
        <w:gridCol w:w="62"/>
        <w:gridCol w:w="82"/>
        <w:gridCol w:w="245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序号</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项目</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单位</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数量</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备注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站址总用地面积</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hm²</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0.2044</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约合3.066亩</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1.1</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站区围墙内用地面积</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hm²</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0.1503</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约合2.254亩</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1.2</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围墙外占地面积</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hm²</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0.0278</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约合0.417亩</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1.3</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进站道路用地面积</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hm²</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0.0263</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约合0.395亩</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2</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新建进站道路长度</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m</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36.17</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郊区型混凝土道路宽4m</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3</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站内主电缆沟长度</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m</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180</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600×600以上</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4</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站内道路面积</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m²</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385</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公路型混凝土道路款4m</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vMerge w:val="restart"/>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5</w:t>
            </w:r>
          </w:p>
        </w:tc>
        <w:tc>
          <w:tcPr>
            <w:tcW w:w="1701" w:type="dxa"/>
            <w:vMerge w:val="restart"/>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站址土（石）方量</w:t>
            </w:r>
          </w:p>
        </w:tc>
        <w:tc>
          <w:tcPr>
            <w:tcW w:w="85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挖方</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m³</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2364.7</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土石比=8：2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1701"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85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填方</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m³</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521.8</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vMerge w:val="restart"/>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5.1</w:t>
            </w:r>
          </w:p>
        </w:tc>
        <w:tc>
          <w:tcPr>
            <w:tcW w:w="1701" w:type="dxa"/>
            <w:vMerge w:val="restart"/>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站区场地平整</w:t>
            </w:r>
          </w:p>
        </w:tc>
        <w:tc>
          <w:tcPr>
            <w:tcW w:w="85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挖方</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m³</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634.7</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1701"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85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填方</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m³</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372.8</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vMerge w:val="restart"/>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5.2</w:t>
            </w:r>
          </w:p>
        </w:tc>
        <w:tc>
          <w:tcPr>
            <w:tcW w:w="1701" w:type="dxa"/>
            <w:vMerge w:val="restart"/>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进站道路</w:t>
            </w:r>
          </w:p>
        </w:tc>
        <w:tc>
          <w:tcPr>
            <w:tcW w:w="85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挖方</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m³</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1701"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85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填方</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m³</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140</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5.3</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站外边坡挖方</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m³</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100</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5.4</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建构筑物基墙余土</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m³</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1630</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5.5</w:t>
            </w:r>
          </w:p>
        </w:tc>
        <w:tc>
          <w:tcPr>
            <w:tcW w:w="170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站址土方综合平衡后</w:t>
            </w:r>
          </w:p>
        </w:tc>
        <w:tc>
          <w:tcPr>
            <w:tcW w:w="85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弃土</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m³</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1970.1</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弃土已考虑松散系数1.05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6</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站外浆砌块石护坡</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m³</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61</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7</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屋外场地面积</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m²</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725</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碎石地坪</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8</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总建筑面积</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m²</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120</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9</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站区外墙长度</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179</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2.3m高，砖砌体</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10</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浆砌块石排水沟</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250</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400×400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11</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过公路500钢筋混凝土管涵</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35</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12</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地基处理（换填垫层法）</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m³</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210</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级配碎石</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13</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中砂、粗砂</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m³</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100</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防冻胀</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851"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14</w:t>
            </w:r>
          </w:p>
        </w:tc>
        <w:tc>
          <w:tcPr>
            <w:tcW w:w="255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钻孔灌注桩</w:t>
            </w:r>
          </w:p>
        </w:tc>
        <w:tc>
          <w:tcPr>
            <w:tcW w:w="988"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m³</w:t>
            </w:r>
          </w:p>
        </w:tc>
        <w:tc>
          <w:tcPr>
            <w:tcW w:w="1792"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176</w:t>
            </w:r>
          </w:p>
        </w:tc>
        <w:tc>
          <w:tcPr>
            <w:tcW w:w="2596"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ascii="仿宋" w:hAnsi="仿宋" w:eastAsia="仿宋"/>
                <w:color w:val="000000" w:themeColor="text1"/>
              </w:rPr>
              <w:t>Φ</w:t>
            </w:r>
            <w:r>
              <w:rPr>
                <w:rFonts w:hint="eastAsia"/>
                <w:color w:val="000000" w:themeColor="text1"/>
              </w:rPr>
              <w:t>400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3410"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起迄点</w:t>
            </w:r>
          </w:p>
        </w:tc>
        <w:tc>
          <w:tcPr>
            <w:tcW w:w="5376" w:type="dxa"/>
            <w:gridSpan w:val="7"/>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新都桥临时供电220kV变电站工程（同期建设）的35kV充气式开关柜～新都桥临时供电35kV变电站工程主变35 kV高压套管</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3410"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电压等级</w:t>
            </w:r>
          </w:p>
        </w:tc>
        <w:tc>
          <w:tcPr>
            <w:tcW w:w="5376" w:type="dxa"/>
            <w:gridSpan w:val="7"/>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35kV</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180" w:hRule="atLeast"/>
          <w:jc w:val="center"/>
        </w:trPr>
        <w:tc>
          <w:tcPr>
            <w:tcW w:w="3410"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电缆长度</w:t>
            </w:r>
          </w:p>
        </w:tc>
        <w:tc>
          <w:tcPr>
            <w:tcW w:w="1141"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3×300m</w:t>
            </w:r>
          </w:p>
        </w:tc>
        <w:tc>
          <w:tcPr>
            <w:tcW w:w="1701"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回路数</w:t>
            </w:r>
          </w:p>
        </w:tc>
        <w:tc>
          <w:tcPr>
            <w:tcW w:w="2534"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三回路</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3410"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电缆型号</w:t>
            </w:r>
          </w:p>
        </w:tc>
        <w:tc>
          <w:tcPr>
            <w:tcW w:w="5376" w:type="dxa"/>
            <w:gridSpan w:val="7"/>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YJV-26/35 1×300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3410"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电缆通道长度（含通道类型、结构型式、施工方式等）</w:t>
            </w:r>
          </w:p>
        </w:tc>
        <w:tc>
          <w:tcPr>
            <w:tcW w:w="5376" w:type="dxa"/>
            <w:gridSpan w:val="7"/>
            <w:tcBorders>
              <w:tl2br w:val="nil"/>
              <w:tr2bl w:val="nil"/>
            </w:tcBorders>
            <w:vAlign w:val="center"/>
          </w:tcPr>
          <w:p>
            <w:pPr>
              <w:pStyle w:val="84"/>
              <w:keepNext w:val="0"/>
              <w:keepLines w:val="0"/>
              <w:widowControl/>
              <w:suppressLineNumbers w:val="0"/>
              <w:spacing w:before="0" w:beforeAutospacing="0" w:after="0" w:afterAutospacing="0"/>
              <w:ind w:left="0" w:right="0"/>
              <w:rPr>
                <w:rFonts w:eastAsia="宋体"/>
                <w:color w:val="000000" w:themeColor="text1"/>
              </w:rPr>
            </w:pPr>
            <w:r>
              <w:rPr>
                <w:rFonts w:hint="eastAsia"/>
                <w:color w:val="000000" w:themeColor="text1"/>
              </w:rPr>
              <w:t>电缆沟250m（未含站内）</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jc w:val="center"/>
        </w:trPr>
        <w:tc>
          <w:tcPr>
            <w:tcW w:w="3410"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汽车运距</w:t>
            </w:r>
          </w:p>
        </w:tc>
        <w:tc>
          <w:tcPr>
            <w:tcW w:w="1159"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0.1km</w:t>
            </w:r>
          </w:p>
        </w:tc>
        <w:tc>
          <w:tcPr>
            <w:tcW w:w="1765" w:type="dxa"/>
            <w:gridSpan w:val="3"/>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平均人力运距</w:t>
            </w:r>
          </w:p>
        </w:tc>
        <w:tc>
          <w:tcPr>
            <w:tcW w:w="2452"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0km</w:t>
            </w:r>
          </w:p>
        </w:tc>
      </w:tr>
    </w:tbl>
    <w:p>
      <w:pPr>
        <w:spacing w:before="120"/>
        <w:ind w:firstLine="480"/>
      </w:pPr>
    </w:p>
    <w:p>
      <w:pPr>
        <w:spacing w:before="120"/>
        <w:ind w:firstLine="480"/>
      </w:pPr>
    </w:p>
    <w:p>
      <w:pPr>
        <w:pStyle w:val="4"/>
        <w:spacing w:before="120"/>
      </w:pPr>
      <w:r>
        <w:t>项目投资</w:t>
      </w:r>
      <w:bookmarkEnd w:id="15"/>
    </w:p>
    <w:p>
      <w:pPr>
        <w:spacing w:before="120"/>
        <w:ind w:firstLine="480"/>
        <w:rPr>
          <w:b/>
          <w:bCs/>
        </w:rPr>
      </w:pPr>
      <w:bookmarkStart w:id="16" w:name="_Toc515873297"/>
      <w:r>
        <w:t>本项目工程</w:t>
      </w:r>
      <w:r>
        <w:rPr>
          <w:rFonts w:hint="eastAsia"/>
          <w:lang w:val="en-US" w:eastAsia="zh-CN"/>
        </w:rPr>
        <w:t>静态</w:t>
      </w:r>
      <w:r>
        <w:t>总投资为</w:t>
      </w:r>
      <w:r>
        <w:rPr>
          <w:rFonts w:hint="eastAsia"/>
          <w:lang w:val="en-US" w:eastAsia="zh-CN"/>
        </w:rPr>
        <w:t>3842</w:t>
      </w:r>
      <w:r>
        <w:t>万元，其中土建投资为</w:t>
      </w:r>
      <w:r>
        <w:rPr>
          <w:rFonts w:hint="eastAsia"/>
          <w:lang w:val="en-US" w:eastAsia="zh-CN"/>
        </w:rPr>
        <w:t>501.42</w:t>
      </w:r>
      <w:r>
        <w:t>万元。</w:t>
      </w:r>
    </w:p>
    <w:bookmarkEnd w:id="16"/>
    <w:p>
      <w:pPr>
        <w:pStyle w:val="4"/>
        <w:spacing w:before="120"/>
        <w:rPr>
          <w:kern w:val="0"/>
        </w:rPr>
      </w:pPr>
      <w:bookmarkStart w:id="17" w:name="_Toc515873298"/>
      <w:r>
        <w:rPr>
          <w:kern w:val="0"/>
        </w:rPr>
        <w:t>项目组成及布置</w:t>
      </w:r>
    </w:p>
    <w:p>
      <w:pPr>
        <w:spacing w:before="120"/>
        <w:ind w:firstLine="480"/>
        <w:rPr>
          <w:rFonts w:hint="eastAsia" w:eastAsia="仿宋_GB2312"/>
          <w:szCs w:val="22"/>
          <w:lang w:val="en-US" w:eastAsia="zh-CN"/>
        </w:rPr>
      </w:pPr>
      <w:r>
        <w:rPr>
          <w:rFonts w:hint="eastAsia"/>
          <w:szCs w:val="22"/>
          <w:lang w:val="en-US" w:eastAsia="zh-CN"/>
        </w:rPr>
        <w:t>一、项目组成</w:t>
      </w:r>
    </w:p>
    <w:p>
      <w:pPr>
        <w:spacing w:before="120"/>
        <w:ind w:firstLine="480"/>
        <w:rPr>
          <w:rFonts w:hint="eastAsia"/>
          <w:szCs w:val="22"/>
          <w:lang w:val="en-US" w:eastAsia="zh-CN"/>
        </w:rPr>
      </w:pPr>
      <w:r>
        <w:rPr>
          <w:szCs w:val="22"/>
        </w:rPr>
        <w:t>项目</w:t>
      </w:r>
      <w:r>
        <w:rPr>
          <w:rFonts w:hint="eastAsia"/>
          <w:szCs w:val="22"/>
          <w:lang w:val="en-US" w:eastAsia="zh-CN"/>
        </w:rPr>
        <w:t>主要由以下几部分组成：</w:t>
      </w:r>
    </w:p>
    <w:p>
      <w:pPr>
        <w:spacing w:before="120"/>
        <w:ind w:firstLine="480"/>
        <w:rPr>
          <w:rFonts w:hint="eastAsia"/>
          <w:lang w:val="en-US" w:eastAsia="zh-CN"/>
        </w:rPr>
      </w:pPr>
      <w:r>
        <w:rPr>
          <w:rFonts w:hint="eastAsia"/>
          <w:lang w:val="en-US" w:eastAsia="zh-CN"/>
        </w:rPr>
        <w:t>（1）全站建筑物有1栋配电装置室，总建筑面积134m²。主变基础及油坑3座，电容器基础及围栏6组，钢筋混凝土防火墙2座，10m³事故油池1座，成品消防砂箱1座，基础换填碎石210m³，钻孔灌注桩176m³；站区围墙长度为179m（2.3m砖砌体围墙，单向电动推拉门）；屋外碎石地坪725m²。</w:t>
      </w:r>
    </w:p>
    <w:p>
      <w:pPr>
        <w:spacing w:before="120"/>
        <w:ind w:firstLine="480"/>
        <w:rPr>
          <w:rFonts w:hint="eastAsia"/>
          <w:lang w:val="en-US" w:eastAsia="zh-CN"/>
        </w:rPr>
      </w:pPr>
      <w:r>
        <w:rPr>
          <w:rFonts w:hint="eastAsia"/>
          <w:lang w:val="en-US" w:eastAsia="zh-CN"/>
        </w:rPr>
        <w:t>（2）站内道路144.68m²（公路型）；进站道路长36.17m，宽4m，郊区型混凝土路面，毛石混凝土挡土墙94.39m³。</w:t>
      </w:r>
    </w:p>
    <w:p>
      <w:pPr>
        <w:spacing w:before="120"/>
        <w:ind w:firstLine="480"/>
        <w:rPr>
          <w:rFonts w:hint="eastAsia"/>
          <w:lang w:val="en-US" w:eastAsia="zh-CN"/>
        </w:rPr>
      </w:pPr>
      <w:r>
        <w:rPr>
          <w:rFonts w:hint="eastAsia"/>
          <w:lang w:val="en-US" w:eastAsia="zh-CN"/>
        </w:rPr>
        <w:t>（3）新都桥220kv临时变35kv配电装置采用单母线3分段接线，三回电缆长度约3×0.25km，电缆采用YJV—26/35—1×300交联聚乙烯电力电缆，敷设方式为电缆沟，新建1.4 m×1.3m电缆沟223m。</w:t>
      </w:r>
    </w:p>
    <w:p>
      <w:pPr>
        <w:spacing w:before="120"/>
        <w:ind w:firstLine="480"/>
        <w:rPr>
          <w:rFonts w:hint="eastAsia"/>
          <w:lang w:val="en-US" w:eastAsia="zh-CN"/>
        </w:rPr>
      </w:pPr>
      <w:r>
        <w:rPr>
          <w:rFonts w:hint="eastAsia"/>
          <w:lang w:val="en-US" w:eastAsia="zh-CN"/>
        </w:rPr>
        <w:t>（4）配备有10KV出线、分段按单套配置保护测控集成装置，配置调度数据网设备及相应二次安防设备2套、Ⅱ型网络安全监测装置1套、电能量采集装置1套，配置数据通信网接入层设备1套，3KV新都桥临时变、110KV塔公变各配置相应光模块1块等。</w:t>
      </w:r>
    </w:p>
    <w:p>
      <w:pPr>
        <w:spacing w:before="120"/>
        <w:ind w:firstLine="480"/>
        <w:rPr>
          <w:rFonts w:hint="eastAsia"/>
          <w:lang w:val="en-US" w:eastAsia="zh-CN"/>
        </w:rPr>
      </w:pPr>
      <w:r>
        <w:rPr>
          <w:rFonts w:hint="eastAsia"/>
          <w:lang w:val="en-US" w:eastAsia="zh-CN"/>
        </w:rPr>
        <w:t>依托项目与本项目关系情况：本项目建设用地为原新都桥500kv输变电工程用地，项目在新都桥500kv输变电工程基础上进行扩建，本项目场地位于新都桥500kv输变电工程西北侧（临现有进场道路），本项目修建场内道路与原有进场道路相衔接，项目区经汇集后，排入进场道路雨排水系统。本项目电缆沟布设于原新都桥500kv输变电工程已建场地内部，输变线从项目西侧接入，输变线现有输变系统连接。</w:t>
      </w:r>
    </w:p>
    <w:p>
      <w:pPr>
        <w:spacing w:before="120"/>
        <w:ind w:firstLine="480"/>
        <w:rPr>
          <w:rFonts w:hint="eastAsia"/>
          <w:lang w:val="en-US" w:eastAsia="zh-CN"/>
        </w:rPr>
      </w:pPr>
      <w:r>
        <w:rPr>
          <w:rFonts w:hint="eastAsia"/>
          <w:lang w:val="en-US" w:eastAsia="zh-CN"/>
        </w:rPr>
        <w:t>二、项目布置</w:t>
      </w:r>
    </w:p>
    <w:p>
      <w:pPr>
        <w:spacing w:before="120"/>
        <w:ind w:firstLine="480"/>
        <w:rPr>
          <w:rFonts w:hint="eastAsia"/>
          <w:lang w:val="en-US" w:eastAsia="zh-CN"/>
        </w:rPr>
      </w:pPr>
      <w:r>
        <w:rPr>
          <w:rFonts w:hint="eastAsia"/>
          <w:lang w:val="en-US" w:eastAsia="zh-CN"/>
        </w:rPr>
        <w:t>10KV配电装置采用户内布置，配电装置室和二次设备室联合布置在站区东部，35kV 变压器从西向东成“一”字布置在站区西南部；预留无功设备布置在站区北部、主变北侧公路对面；站内道路进站后直达35kV变压器附近，穿过35kV变压器与预留无功设备之间，在站区西部形成“T”形回车道。进站道路从西侧进站。10kV配电装置室位于站区东南侧，主变位于站区南侧，电容器位于站区北侧。</w:t>
      </w:r>
    </w:p>
    <w:p>
      <w:pPr>
        <w:spacing w:before="120"/>
        <w:ind w:firstLine="480"/>
        <w:rPr>
          <w:rFonts w:hint="eastAsia"/>
          <w:lang w:val="en-US" w:eastAsia="zh-CN"/>
        </w:rPr>
      </w:pPr>
      <w:r>
        <w:rPr>
          <w:rFonts w:hint="eastAsia"/>
          <w:lang w:val="en-US" w:eastAsia="zh-CN"/>
        </w:rPr>
        <w:t>场地北侧为现有进场道路，场地西侧、南侧修建有挡墙，项目建成后大致呈西高东低布置，场地设计标高为3484.69m~3486.86m。站区场地竖向布置采用平坡式布置，由南向北降坡排水，坡度为1.0%；由西向东降坡排水，坡度为3.0%。主要建筑物室内外高差取0.30m。</w:t>
      </w:r>
    </w:p>
    <w:p>
      <w:pPr>
        <w:spacing w:before="120"/>
        <w:ind w:firstLine="480"/>
        <w:rPr>
          <w:rFonts w:hint="eastAsia"/>
          <w:lang w:val="en-US" w:eastAsia="zh-CN"/>
        </w:rPr>
      </w:pPr>
      <w:r>
        <w:rPr>
          <w:rFonts w:hint="eastAsia"/>
          <w:lang w:val="en-US" w:eastAsia="zh-CN"/>
        </w:rPr>
        <w:t>本项目电缆沟布设于原新都桥500kv输变电工程已建场地内部，输变线从项目西侧接入，输变线现有输变系统连接。</w:t>
      </w:r>
    </w:p>
    <w:p>
      <w:pPr>
        <w:pStyle w:val="4"/>
        <w:spacing w:before="120"/>
      </w:pPr>
      <w:r>
        <w:t>施工组织</w:t>
      </w:r>
      <w:bookmarkEnd w:id="17"/>
    </w:p>
    <w:p>
      <w:pPr>
        <w:spacing w:before="120"/>
        <w:ind w:firstLine="480"/>
        <w:rPr>
          <w:rFonts w:hint="eastAsia" w:eastAsia="仿宋_GB2312"/>
          <w:lang w:val="en-US" w:eastAsia="zh-CN"/>
        </w:rPr>
      </w:pPr>
      <w:r>
        <w:rPr>
          <w:rFonts w:hint="eastAsia"/>
          <w:lang w:val="en-US" w:eastAsia="zh-CN"/>
        </w:rPr>
        <w:t>1、施工组织</w:t>
      </w:r>
    </w:p>
    <w:p>
      <w:pPr>
        <w:spacing w:before="120"/>
        <w:ind w:firstLine="480"/>
      </w:pPr>
      <w:r>
        <w:t>本项目位于</w:t>
      </w:r>
      <w:r>
        <w:rPr>
          <w:rFonts w:hint="eastAsia"/>
        </w:rPr>
        <w:t>康定</w:t>
      </w:r>
      <w:r>
        <w:rPr>
          <w:rFonts w:hint="eastAsia"/>
          <w:lang w:val="en-US" w:eastAsia="zh-CN"/>
        </w:rPr>
        <w:t>市</w:t>
      </w:r>
      <w:r>
        <w:rPr>
          <w:rFonts w:hint="eastAsia"/>
        </w:rPr>
        <w:t>瓦泽乡瓦泽村境内，站址位于新都桥500kV变电站外进站道路与站外护坡之间一块狭长空地上</w:t>
      </w:r>
      <w:r>
        <w:t>。项目</w:t>
      </w:r>
      <w:r>
        <w:rPr>
          <w:rFonts w:hint="eastAsia"/>
        </w:rPr>
        <w:t>西</w:t>
      </w:r>
      <w:r>
        <w:t>临</w:t>
      </w:r>
      <w:r>
        <w:rPr>
          <w:rFonts w:hint="eastAsia"/>
        </w:rPr>
        <w:t>G318国道</w:t>
      </w:r>
      <w:r>
        <w:t>，交通便利。项目西侧即为现有变电站，</w:t>
      </w:r>
      <w:r>
        <w:rPr>
          <w:rFonts w:hint="eastAsia"/>
        </w:rPr>
        <w:t>工程建设所需材料可就近购买，其他设备及线缆等为业主自行采购及安装。</w:t>
      </w:r>
    </w:p>
    <w:p>
      <w:pPr>
        <w:spacing w:before="120"/>
        <w:ind w:firstLine="480"/>
      </w:pPr>
      <w:r>
        <w:rPr>
          <w:rFonts w:hint="eastAsia"/>
        </w:rPr>
        <w:t>项目施工用电用水就近接入，</w:t>
      </w:r>
      <w:r>
        <w:t>施工期通讯采用无线电通讯，能有效的满足项目建设需要。</w:t>
      </w:r>
    </w:p>
    <w:p>
      <w:pPr>
        <w:spacing w:before="120"/>
        <w:ind w:firstLine="480"/>
      </w:pPr>
      <w:r>
        <w:rPr>
          <w:rFonts w:hint="eastAsia"/>
          <w:lang w:val="en-US" w:eastAsia="zh-CN"/>
        </w:rPr>
        <w:t>2</w:t>
      </w:r>
      <w:r>
        <w:t>、</w:t>
      </w:r>
      <w:r>
        <w:rPr>
          <w:rFonts w:hint="eastAsia"/>
          <w:lang w:val="en-US" w:eastAsia="zh-CN"/>
        </w:rPr>
        <w:t>临时施工用地布置</w:t>
      </w:r>
    </w:p>
    <w:p>
      <w:pPr>
        <w:spacing w:before="120"/>
        <w:ind w:firstLine="480"/>
        <w:rPr>
          <w:rFonts w:hint="eastAsia" w:cs="Times New Roman"/>
          <w:lang w:eastAsia="zh-CN"/>
        </w:rPr>
      </w:pPr>
      <w:r>
        <w:rPr>
          <w:rFonts w:hint="eastAsia" w:cs="Times New Roman"/>
          <w:lang w:eastAsia="zh-CN"/>
        </w:rPr>
        <w:t>本项目施工临时场地主要为堆存项目区内建设材料，就近堆存，在项目用地红线范围内，不新增占地。施工办公及生活场地为租住当地民房。</w:t>
      </w:r>
    </w:p>
    <w:p>
      <w:pPr>
        <w:spacing w:before="120"/>
        <w:ind w:firstLine="480"/>
      </w:pPr>
      <w:r>
        <w:rPr>
          <w:rFonts w:hint="eastAsia" w:cs="Times New Roman"/>
          <w:lang w:eastAsia="zh-CN"/>
        </w:rPr>
        <w:t>本项目电缆沟布设于新都桥500kv输变电工程场地内部，长约250m，设计断面尺寸为：H×W=1.1×1.4m，施工开挖断面边坡按1~0.25放坡，开挖土石方（含场地内部铺设的卵石）沿线堆存，施工完成后不进行回铺（原场地铺设的卵石全部回填），多余土石方用于变电站存量地场地回填使用，回填区域位于本项目场地东侧。</w:t>
      </w:r>
    </w:p>
    <w:p>
      <w:pPr>
        <w:pStyle w:val="4"/>
        <w:spacing w:before="120"/>
      </w:pPr>
      <w:bookmarkStart w:id="18" w:name="_Toc515873299"/>
      <w:r>
        <w:t>土石方情况</w:t>
      </w:r>
      <w:bookmarkEnd w:id="18"/>
    </w:p>
    <w:p>
      <w:pPr>
        <w:pStyle w:val="5"/>
        <w:spacing w:before="120"/>
      </w:pPr>
      <w:r>
        <w:rPr>
          <w:rFonts w:hint="eastAsia"/>
        </w:rPr>
        <w:t>批复方案土石方情况</w:t>
      </w:r>
    </w:p>
    <w:p>
      <w:pPr>
        <w:spacing w:before="120"/>
        <w:ind w:firstLine="480"/>
        <w:rPr>
          <w:color w:val="000000" w:themeColor="text1"/>
        </w:rPr>
      </w:pPr>
      <w:r>
        <w:rPr>
          <w:rFonts w:hint="eastAsia"/>
        </w:rPr>
        <w:t>本项目批复方案土石方开挖总量为0.</w:t>
      </w:r>
      <w:r>
        <w:rPr>
          <w:rFonts w:hint="eastAsia"/>
          <w:lang w:val="en-US" w:eastAsia="zh-CN"/>
        </w:rPr>
        <w:t>35</w:t>
      </w:r>
      <w:r>
        <w:rPr>
          <w:rFonts w:hint="eastAsia"/>
        </w:rPr>
        <w:t>万m</w:t>
      </w:r>
      <w:r>
        <w:rPr>
          <w:rFonts w:hint="eastAsia"/>
          <w:vertAlign w:val="superscript"/>
          <w:lang w:val="en-US" w:eastAsia="zh-CN"/>
        </w:rPr>
        <w:t>3</w:t>
      </w:r>
      <w:r>
        <w:rPr>
          <w:rFonts w:hint="eastAsia"/>
        </w:rPr>
        <w:t>，填方总量为0.11万m</w:t>
      </w:r>
      <w:r>
        <w:rPr>
          <w:rFonts w:hint="eastAsia"/>
          <w:vertAlign w:val="superscript"/>
          <w:lang w:val="en-US" w:eastAsia="zh-CN"/>
        </w:rPr>
        <w:t>3</w:t>
      </w:r>
      <w:r>
        <w:rPr>
          <w:rFonts w:hint="eastAsia"/>
        </w:rPr>
        <w:t>，场地内部调运，余方0.24万m</w:t>
      </w:r>
      <w:r>
        <w:rPr>
          <w:rFonts w:hint="eastAsia"/>
          <w:vertAlign w:val="superscript"/>
          <w:lang w:val="en-US" w:eastAsia="zh-CN"/>
        </w:rPr>
        <w:t>3</w:t>
      </w:r>
      <w:r>
        <w:rPr>
          <w:rFonts w:hint="eastAsia"/>
        </w:rPr>
        <w:t>，本项目余方用于变电站存量地场地回填使用，回填区域位于本项目场地东侧，余方回填利用水土保持责任由国网四川省电力公司甘孜供电公司负责</w:t>
      </w:r>
      <w:r>
        <w:rPr>
          <w:color w:val="000000" w:themeColor="text1"/>
        </w:rPr>
        <w:t>。</w:t>
      </w:r>
    </w:p>
    <w:p>
      <w:pPr>
        <w:pStyle w:val="16"/>
      </w:pPr>
      <w:r>
        <w:rPr>
          <w:rFonts w:hint="eastAsia"/>
        </w:rPr>
        <w:t>批复</w:t>
      </w:r>
      <w:r>
        <w:t>的土石方平衡表</w:t>
      </w:r>
      <w:r>
        <w:rPr>
          <w:rFonts w:hint="eastAsia"/>
        </w:rPr>
        <w:t xml:space="preserve"> 单位：万m</w:t>
      </w:r>
      <w:r>
        <w:rPr>
          <w:rFonts w:hint="eastAsia"/>
          <w:vertAlign w:val="superscript"/>
        </w:rPr>
        <w:t>3</w:t>
      </w:r>
    </w:p>
    <w:p>
      <w:pPr>
        <w:pStyle w:val="13"/>
        <w:keepNext/>
        <w:rPr>
          <w:rFonts w:hint="eastAsia"/>
          <w:lang w:val="en-US" w:eastAsia="zh-CN"/>
        </w:rPr>
      </w:pPr>
      <w:r>
        <w:rPr>
          <w:rFonts w:hint="eastAsia"/>
        </w:rPr>
        <w:t>表1.1</w:t>
      </w:r>
      <w:r>
        <w:noBreakHyphen/>
      </w:r>
      <w:r>
        <w:rPr>
          <w:rFonts w:hint="eastAsia"/>
          <w:lang w:val="en-US" w:eastAsia="zh-CN"/>
        </w:rPr>
        <w:t>3</w:t>
      </w:r>
    </w:p>
    <w:tbl>
      <w:tblPr>
        <w:tblStyle w:val="32"/>
        <w:tblW w:w="9154" w:type="dxa"/>
        <w:jc w:val="center"/>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658"/>
        <w:gridCol w:w="976"/>
        <w:gridCol w:w="1022"/>
        <w:gridCol w:w="718"/>
        <w:gridCol w:w="852"/>
        <w:gridCol w:w="854"/>
        <w:gridCol w:w="751"/>
        <w:gridCol w:w="874"/>
        <w:gridCol w:w="850"/>
        <w:gridCol w:w="1599"/>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658"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序号</w:t>
            </w:r>
          </w:p>
        </w:tc>
        <w:tc>
          <w:tcPr>
            <w:tcW w:w="976" w:type="dxa"/>
            <w:vMerge w:val="restart"/>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工程分区</w:t>
            </w:r>
          </w:p>
        </w:tc>
        <w:tc>
          <w:tcPr>
            <w:tcW w:w="1022"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挖方（万</w:t>
            </w:r>
            <w:r>
              <w:rPr>
                <w:rStyle w:val="85"/>
                <w:rFonts w:hint="default" w:ascii="Times New Roman" w:hAnsi="Times New Roman" w:eastAsia="仿宋_GB2312" w:cs="Times New Roman"/>
                <w:color w:val="000000" w:themeColor="text1"/>
              </w:rPr>
              <w:t>m³</w:t>
            </w:r>
            <w:r>
              <w:rPr>
                <w:color w:val="000000" w:themeColor="text1"/>
              </w:rPr>
              <w:t>）</w:t>
            </w:r>
          </w:p>
        </w:tc>
        <w:tc>
          <w:tcPr>
            <w:tcW w:w="1570" w:type="dxa"/>
            <w:gridSpan w:val="2"/>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填方（万</w:t>
            </w:r>
            <w:r>
              <w:rPr>
                <w:rStyle w:val="85"/>
                <w:rFonts w:hint="default" w:ascii="Times New Roman" w:hAnsi="Times New Roman" w:eastAsia="仿宋_GB2312" w:cs="Times New Roman"/>
                <w:color w:val="000000" w:themeColor="text1"/>
              </w:rPr>
              <w:t>m³</w:t>
            </w:r>
            <w:r>
              <w:rPr>
                <w:color w:val="000000" w:themeColor="text1"/>
              </w:rPr>
              <w:t>）</w:t>
            </w:r>
          </w:p>
        </w:tc>
        <w:tc>
          <w:tcPr>
            <w:tcW w:w="854"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调出（万</w:t>
            </w:r>
            <w:r>
              <w:rPr>
                <w:rStyle w:val="85"/>
                <w:rFonts w:hint="default" w:ascii="Times New Roman" w:hAnsi="Times New Roman" w:eastAsia="仿宋_GB2312" w:cs="Times New Roman"/>
                <w:color w:val="000000" w:themeColor="text1"/>
              </w:rPr>
              <w:t>m³</w:t>
            </w:r>
            <w:r>
              <w:rPr>
                <w:color w:val="000000" w:themeColor="text1"/>
              </w:rPr>
              <w:t>）</w:t>
            </w:r>
          </w:p>
        </w:tc>
        <w:tc>
          <w:tcPr>
            <w:tcW w:w="751"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调入（万</w:t>
            </w:r>
            <w:r>
              <w:rPr>
                <w:rStyle w:val="85"/>
                <w:rFonts w:hint="default" w:ascii="Times New Roman" w:hAnsi="Times New Roman" w:eastAsia="仿宋_GB2312" w:cs="Times New Roman"/>
                <w:color w:val="000000" w:themeColor="text1"/>
              </w:rPr>
              <w:t>m³</w:t>
            </w:r>
            <w:r>
              <w:rPr>
                <w:color w:val="000000" w:themeColor="text1"/>
              </w:rPr>
              <w:t>）</w:t>
            </w:r>
          </w:p>
        </w:tc>
        <w:tc>
          <w:tcPr>
            <w:tcW w:w="874"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借方</w:t>
            </w:r>
          </w:p>
          <w:p>
            <w:pPr>
              <w:pStyle w:val="84"/>
              <w:keepNext w:val="0"/>
              <w:keepLines w:val="0"/>
              <w:widowControl/>
              <w:suppressLineNumbers w:val="0"/>
              <w:spacing w:before="0" w:beforeAutospacing="0" w:after="0" w:afterAutospacing="0"/>
              <w:ind w:left="0" w:right="0"/>
              <w:rPr>
                <w:color w:val="000000" w:themeColor="text1"/>
              </w:rPr>
            </w:pPr>
          </w:p>
        </w:tc>
        <w:tc>
          <w:tcPr>
            <w:tcW w:w="244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余方</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658"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976"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102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土石方</w:t>
            </w:r>
          </w:p>
        </w:tc>
        <w:tc>
          <w:tcPr>
            <w:tcW w:w="718"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绿化覆土</w:t>
            </w:r>
          </w:p>
        </w:tc>
        <w:tc>
          <w:tcPr>
            <w:tcW w:w="8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土石方</w:t>
            </w:r>
          </w:p>
        </w:tc>
        <w:tc>
          <w:tcPr>
            <w:tcW w:w="854"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751"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874"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850"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数量</w:t>
            </w:r>
          </w:p>
        </w:tc>
        <w:tc>
          <w:tcPr>
            <w:tcW w:w="1599"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去向</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658"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①</w:t>
            </w:r>
          </w:p>
        </w:tc>
        <w:tc>
          <w:tcPr>
            <w:tcW w:w="976"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变电站用地区</w:t>
            </w:r>
          </w:p>
        </w:tc>
        <w:tc>
          <w:tcPr>
            <w:tcW w:w="102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0.30</w:t>
            </w:r>
          </w:p>
        </w:tc>
        <w:tc>
          <w:tcPr>
            <w:tcW w:w="718"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w:t>
            </w:r>
          </w:p>
        </w:tc>
        <w:tc>
          <w:tcPr>
            <w:tcW w:w="8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0.09</w:t>
            </w:r>
          </w:p>
        </w:tc>
        <w:tc>
          <w:tcPr>
            <w:tcW w:w="854"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w:t>
            </w:r>
          </w:p>
        </w:tc>
        <w:tc>
          <w:tcPr>
            <w:tcW w:w="751"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w:t>
            </w:r>
          </w:p>
        </w:tc>
        <w:tc>
          <w:tcPr>
            <w:tcW w:w="874"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无</w:t>
            </w:r>
          </w:p>
        </w:tc>
        <w:tc>
          <w:tcPr>
            <w:tcW w:w="850" w:type="dxa"/>
            <w:vMerge w:val="restart"/>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0.24</w:t>
            </w:r>
          </w:p>
        </w:tc>
        <w:tc>
          <w:tcPr>
            <w:tcW w:w="1599" w:type="dxa"/>
            <w:vMerge w:val="restart"/>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变电站存量地场地回填使用，余方回填利用水土保持责任由国网四川省电力公司甘孜供电公司负责</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658"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②</w:t>
            </w:r>
          </w:p>
        </w:tc>
        <w:tc>
          <w:tcPr>
            <w:tcW w:w="976"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进站道路</w:t>
            </w:r>
            <w:r>
              <w:rPr>
                <w:color w:val="000000" w:themeColor="text1"/>
              </w:rPr>
              <w:t>用地区</w:t>
            </w:r>
          </w:p>
        </w:tc>
        <w:tc>
          <w:tcPr>
            <w:tcW w:w="102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w:t>
            </w:r>
          </w:p>
        </w:tc>
        <w:tc>
          <w:tcPr>
            <w:tcW w:w="718"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w:t>
            </w:r>
          </w:p>
        </w:tc>
        <w:tc>
          <w:tcPr>
            <w:tcW w:w="8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0.01</w:t>
            </w:r>
          </w:p>
        </w:tc>
        <w:tc>
          <w:tcPr>
            <w:tcW w:w="854"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751"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874"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850"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1599"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658"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③</w:t>
            </w:r>
          </w:p>
        </w:tc>
        <w:tc>
          <w:tcPr>
            <w:tcW w:w="976"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电缆沟用地区</w:t>
            </w:r>
          </w:p>
        </w:tc>
        <w:tc>
          <w:tcPr>
            <w:tcW w:w="102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0.05</w:t>
            </w:r>
          </w:p>
        </w:tc>
        <w:tc>
          <w:tcPr>
            <w:tcW w:w="718"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w:t>
            </w:r>
          </w:p>
        </w:tc>
        <w:tc>
          <w:tcPr>
            <w:tcW w:w="8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0.01</w:t>
            </w:r>
          </w:p>
        </w:tc>
        <w:tc>
          <w:tcPr>
            <w:tcW w:w="854"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751"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874"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850"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1599"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1634" w:type="dxa"/>
            <w:gridSpan w:val="2"/>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合计</w:t>
            </w:r>
          </w:p>
        </w:tc>
        <w:tc>
          <w:tcPr>
            <w:tcW w:w="102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0.35</w:t>
            </w:r>
          </w:p>
        </w:tc>
        <w:tc>
          <w:tcPr>
            <w:tcW w:w="718"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w:t>
            </w:r>
          </w:p>
        </w:tc>
        <w:tc>
          <w:tcPr>
            <w:tcW w:w="852"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0.11</w:t>
            </w:r>
          </w:p>
        </w:tc>
        <w:tc>
          <w:tcPr>
            <w:tcW w:w="854"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w:t>
            </w:r>
          </w:p>
        </w:tc>
        <w:tc>
          <w:tcPr>
            <w:tcW w:w="751"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w:t>
            </w:r>
          </w:p>
        </w:tc>
        <w:tc>
          <w:tcPr>
            <w:tcW w:w="874"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w:t>
            </w:r>
          </w:p>
        </w:tc>
        <w:tc>
          <w:tcPr>
            <w:tcW w:w="850"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0.24</w:t>
            </w:r>
          </w:p>
        </w:tc>
        <w:tc>
          <w:tcPr>
            <w:tcW w:w="1599"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bl>
    <w:p>
      <w:pPr>
        <w:pStyle w:val="5"/>
        <w:spacing w:before="120"/>
      </w:pPr>
      <w:r>
        <w:rPr>
          <w:rFonts w:hint="eastAsia"/>
        </w:rPr>
        <w:t>施工实际土石方情况</w:t>
      </w:r>
    </w:p>
    <w:p>
      <w:pPr>
        <w:spacing w:before="120"/>
        <w:ind w:firstLine="480"/>
        <w:rPr>
          <w:rFonts w:hint="eastAsia"/>
        </w:rPr>
      </w:pPr>
      <w:r>
        <w:t>本项目</w:t>
      </w:r>
      <w:r>
        <w:rPr>
          <w:rFonts w:hint="eastAsia"/>
        </w:rPr>
        <w:t>实际</w:t>
      </w:r>
      <w:r>
        <w:t>施工土石方</w:t>
      </w:r>
      <w:r>
        <w:rPr>
          <w:rFonts w:hint="eastAsia"/>
          <w:lang w:val="en-US" w:eastAsia="zh-CN"/>
        </w:rPr>
        <w:t>量与批复的水土保持方案报告表基本一致，</w:t>
      </w:r>
      <w:r>
        <w:rPr>
          <w:rFonts w:hint="eastAsia"/>
        </w:rPr>
        <w:t>开挖总量</w:t>
      </w:r>
      <w:r>
        <w:rPr>
          <w:rFonts w:hint="eastAsia"/>
          <w:color w:val="000000" w:themeColor="text1"/>
          <w:lang w:val="en-US" w:eastAsia="zh-CN"/>
        </w:rPr>
        <w:t>0.30</w:t>
      </w:r>
      <w:r>
        <w:rPr>
          <w:color w:val="000000" w:themeColor="text1"/>
        </w:rPr>
        <w:t>万m³，土石方回填利用</w:t>
      </w:r>
      <w:r>
        <w:rPr>
          <w:rFonts w:hint="eastAsia"/>
          <w:color w:val="000000" w:themeColor="text1"/>
          <w:lang w:val="en-US" w:eastAsia="zh-CN"/>
        </w:rPr>
        <w:t>0.30</w:t>
      </w:r>
      <w:r>
        <w:rPr>
          <w:color w:val="000000" w:themeColor="text1"/>
        </w:rPr>
        <w:t>万m³，</w:t>
      </w:r>
      <w:r>
        <w:rPr>
          <w:rFonts w:hint="eastAsia" w:ascii="Times New Roman" w:hAnsi="Times New Roman" w:eastAsia="仿宋_GB2312" w:cs="Times New Roman"/>
          <w:kern w:val="2"/>
          <w:sz w:val="24"/>
          <w:szCs w:val="24"/>
          <w:lang w:val="en-US" w:eastAsia="zh-CN" w:bidi="ar"/>
        </w:rPr>
        <w:t>无弃方产生，不设置弃土场</w:t>
      </w:r>
      <w:r>
        <w:rPr>
          <w:rFonts w:hint="eastAsia"/>
          <w:color w:val="000000" w:themeColor="text1"/>
        </w:rPr>
        <w:t>，</w:t>
      </w:r>
      <w:r>
        <w:rPr>
          <w:rFonts w:hint="eastAsia" w:cs="Times New Roman"/>
          <w:color w:val="000000" w:themeColor="text1"/>
        </w:rPr>
        <w:t>回填区域位于本项目场地东侧</w:t>
      </w:r>
      <w:r>
        <w:rPr>
          <w:color w:val="000000" w:themeColor="text1"/>
        </w:rPr>
        <w:t>。</w:t>
      </w:r>
    </w:p>
    <w:p>
      <w:pPr>
        <w:spacing w:before="120"/>
        <w:ind w:firstLine="480"/>
        <w:jc w:val="left"/>
      </w:pPr>
      <w:r>
        <w:t>施工期间土石方工程量统计见表1.1-</w:t>
      </w:r>
      <w:r>
        <w:rPr>
          <w:rFonts w:hint="eastAsia"/>
          <w:lang w:val="en-US" w:eastAsia="zh-CN"/>
        </w:rPr>
        <w:t>4</w:t>
      </w:r>
      <w:r>
        <w:t>。</w:t>
      </w:r>
    </w:p>
    <w:p>
      <w:pPr>
        <w:pStyle w:val="58"/>
        <w:spacing w:before="120"/>
        <w:rPr>
          <w:color w:val="auto"/>
        </w:rPr>
      </w:pPr>
    </w:p>
    <w:p>
      <w:pPr>
        <w:pStyle w:val="58"/>
        <w:spacing w:before="120"/>
        <w:rPr>
          <w:color w:val="auto"/>
        </w:rPr>
      </w:pPr>
    </w:p>
    <w:p>
      <w:pPr>
        <w:pStyle w:val="58"/>
        <w:spacing w:before="120"/>
        <w:rPr>
          <w:color w:val="auto"/>
        </w:rPr>
      </w:pPr>
    </w:p>
    <w:p>
      <w:pPr>
        <w:pStyle w:val="58"/>
        <w:spacing w:before="120"/>
        <w:rPr>
          <w:color w:val="auto"/>
        </w:rPr>
      </w:pPr>
    </w:p>
    <w:p>
      <w:pPr>
        <w:pStyle w:val="58"/>
        <w:spacing w:before="120"/>
        <w:rPr>
          <w:color w:val="auto"/>
        </w:rPr>
      </w:pPr>
    </w:p>
    <w:p>
      <w:pPr>
        <w:pStyle w:val="58"/>
        <w:spacing w:before="120"/>
        <w:rPr>
          <w:color w:val="auto"/>
        </w:rPr>
      </w:pPr>
    </w:p>
    <w:p>
      <w:pPr>
        <w:pStyle w:val="58"/>
        <w:spacing w:before="120"/>
        <w:rPr>
          <w:color w:val="auto"/>
        </w:rPr>
      </w:pPr>
    </w:p>
    <w:p>
      <w:pPr>
        <w:pStyle w:val="58"/>
        <w:spacing w:before="120"/>
        <w:rPr>
          <w:color w:val="auto"/>
        </w:rPr>
      </w:pPr>
    </w:p>
    <w:p>
      <w:pPr>
        <w:pStyle w:val="58"/>
        <w:spacing w:before="120"/>
        <w:rPr>
          <w:color w:val="auto"/>
        </w:rPr>
      </w:pPr>
    </w:p>
    <w:p>
      <w:pPr>
        <w:pStyle w:val="58"/>
        <w:spacing w:before="120"/>
        <w:rPr>
          <w:color w:val="auto"/>
        </w:rPr>
      </w:pPr>
      <w:r>
        <w:rPr>
          <w:color w:val="auto"/>
        </w:rPr>
        <w:t>实际土石方平衡表</w:t>
      </w:r>
      <w:r>
        <w:rPr>
          <w:rFonts w:hint="eastAsia"/>
          <w:color w:val="auto"/>
        </w:rPr>
        <w:t xml:space="preserve"> 单位：万m</w:t>
      </w:r>
      <w:r>
        <w:rPr>
          <w:rFonts w:hint="eastAsia"/>
          <w:color w:val="auto"/>
          <w:vertAlign w:val="superscript"/>
        </w:rPr>
        <w:t>3</w:t>
      </w:r>
    </w:p>
    <w:p>
      <w:pPr>
        <w:pStyle w:val="13"/>
        <w:keepNext/>
        <w:rPr>
          <w:rFonts w:hint="eastAsia"/>
          <w:lang w:val="en-US" w:eastAsia="zh-CN"/>
        </w:rPr>
      </w:pPr>
      <w:r>
        <w:t xml:space="preserve">表 </w:t>
      </w:r>
      <w:r>
        <w:rPr>
          <w:rFonts w:hint="eastAsia"/>
        </w:rPr>
        <w:t>1.1</w:t>
      </w:r>
      <w:r>
        <w:noBreakHyphen/>
      </w:r>
      <w:r>
        <w:rPr>
          <w:rFonts w:hint="eastAsia"/>
          <w:lang w:val="en-US" w:eastAsia="zh-CN"/>
        </w:rPr>
        <w:t>4</w:t>
      </w:r>
    </w:p>
    <w:tbl>
      <w:tblPr>
        <w:tblStyle w:val="32"/>
        <w:tblW w:w="9154" w:type="dxa"/>
        <w:jc w:val="center"/>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0" w:type="dxa"/>
          <w:bottom w:w="0" w:type="dxa"/>
          <w:right w:w="0" w:type="dxa"/>
        </w:tblCellMar>
      </w:tblPr>
      <w:tblGrid>
        <w:gridCol w:w="658"/>
        <w:gridCol w:w="976"/>
        <w:gridCol w:w="1022"/>
        <w:gridCol w:w="718"/>
        <w:gridCol w:w="852"/>
        <w:gridCol w:w="854"/>
        <w:gridCol w:w="751"/>
        <w:gridCol w:w="874"/>
        <w:gridCol w:w="850"/>
        <w:gridCol w:w="1599"/>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658"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序号</w:t>
            </w:r>
          </w:p>
        </w:tc>
        <w:tc>
          <w:tcPr>
            <w:tcW w:w="976" w:type="dxa"/>
            <w:vMerge w:val="restart"/>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工程分区</w:t>
            </w:r>
          </w:p>
        </w:tc>
        <w:tc>
          <w:tcPr>
            <w:tcW w:w="1022"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挖方（万</w:t>
            </w:r>
            <w:r>
              <w:rPr>
                <w:rStyle w:val="85"/>
                <w:rFonts w:hint="default" w:ascii="Times New Roman" w:hAnsi="Times New Roman" w:eastAsia="仿宋_GB2312" w:cs="Times New Roman"/>
                <w:color w:val="000000" w:themeColor="text1"/>
              </w:rPr>
              <w:t>m³</w:t>
            </w:r>
            <w:r>
              <w:rPr>
                <w:color w:val="000000" w:themeColor="text1"/>
              </w:rPr>
              <w:t>）</w:t>
            </w:r>
          </w:p>
        </w:tc>
        <w:tc>
          <w:tcPr>
            <w:tcW w:w="1570" w:type="dxa"/>
            <w:gridSpan w:val="2"/>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填方（万</w:t>
            </w:r>
            <w:r>
              <w:rPr>
                <w:rStyle w:val="85"/>
                <w:rFonts w:hint="default" w:ascii="Times New Roman" w:hAnsi="Times New Roman" w:eastAsia="仿宋_GB2312" w:cs="Times New Roman"/>
                <w:color w:val="000000" w:themeColor="text1"/>
              </w:rPr>
              <w:t>m³</w:t>
            </w:r>
            <w:r>
              <w:rPr>
                <w:color w:val="000000" w:themeColor="text1"/>
              </w:rPr>
              <w:t>）</w:t>
            </w:r>
          </w:p>
        </w:tc>
        <w:tc>
          <w:tcPr>
            <w:tcW w:w="854"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调出（万</w:t>
            </w:r>
            <w:r>
              <w:rPr>
                <w:rStyle w:val="85"/>
                <w:rFonts w:hint="default" w:ascii="Times New Roman" w:hAnsi="Times New Roman" w:eastAsia="仿宋_GB2312" w:cs="Times New Roman"/>
                <w:color w:val="000000" w:themeColor="text1"/>
              </w:rPr>
              <w:t>m³</w:t>
            </w:r>
            <w:r>
              <w:rPr>
                <w:color w:val="000000" w:themeColor="text1"/>
              </w:rPr>
              <w:t>）</w:t>
            </w:r>
          </w:p>
        </w:tc>
        <w:tc>
          <w:tcPr>
            <w:tcW w:w="751"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调入（万</w:t>
            </w:r>
            <w:r>
              <w:rPr>
                <w:rStyle w:val="85"/>
                <w:rFonts w:hint="default" w:ascii="Times New Roman" w:hAnsi="Times New Roman" w:eastAsia="仿宋_GB2312" w:cs="Times New Roman"/>
                <w:color w:val="000000" w:themeColor="text1"/>
              </w:rPr>
              <w:t>m³</w:t>
            </w:r>
            <w:r>
              <w:rPr>
                <w:color w:val="000000" w:themeColor="text1"/>
              </w:rPr>
              <w:t>）</w:t>
            </w:r>
          </w:p>
        </w:tc>
        <w:tc>
          <w:tcPr>
            <w:tcW w:w="874"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借方</w:t>
            </w:r>
          </w:p>
          <w:p>
            <w:pPr>
              <w:pStyle w:val="84"/>
              <w:keepNext w:val="0"/>
              <w:keepLines w:val="0"/>
              <w:widowControl/>
              <w:suppressLineNumbers w:val="0"/>
              <w:spacing w:before="0" w:beforeAutospacing="0" w:after="0" w:afterAutospacing="0"/>
              <w:ind w:left="0" w:right="0"/>
              <w:rPr>
                <w:color w:val="000000" w:themeColor="text1"/>
              </w:rPr>
            </w:pPr>
          </w:p>
        </w:tc>
        <w:tc>
          <w:tcPr>
            <w:tcW w:w="2449"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余方</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658"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976"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102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土石方</w:t>
            </w:r>
          </w:p>
        </w:tc>
        <w:tc>
          <w:tcPr>
            <w:tcW w:w="718"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绿化覆土</w:t>
            </w:r>
          </w:p>
        </w:tc>
        <w:tc>
          <w:tcPr>
            <w:tcW w:w="8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土石方</w:t>
            </w:r>
          </w:p>
        </w:tc>
        <w:tc>
          <w:tcPr>
            <w:tcW w:w="854"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751"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874"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850"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数量</w:t>
            </w:r>
          </w:p>
        </w:tc>
        <w:tc>
          <w:tcPr>
            <w:tcW w:w="1599"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去向</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658"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①</w:t>
            </w:r>
          </w:p>
        </w:tc>
        <w:tc>
          <w:tcPr>
            <w:tcW w:w="976"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变电站用地区</w:t>
            </w:r>
          </w:p>
        </w:tc>
        <w:tc>
          <w:tcPr>
            <w:tcW w:w="102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0.30</w:t>
            </w:r>
          </w:p>
        </w:tc>
        <w:tc>
          <w:tcPr>
            <w:tcW w:w="718"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w:t>
            </w:r>
          </w:p>
        </w:tc>
        <w:tc>
          <w:tcPr>
            <w:tcW w:w="8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rFonts w:hint="default" w:eastAsia="仿宋_GB2312"/>
                <w:color w:val="000000" w:themeColor="text1"/>
                <w:lang w:val="en-US" w:eastAsia="zh-CN"/>
              </w:rPr>
            </w:pPr>
            <w:r>
              <w:rPr>
                <w:rFonts w:hint="eastAsia"/>
                <w:color w:val="000000" w:themeColor="text1"/>
                <w:lang w:val="en-US" w:eastAsia="zh-CN"/>
              </w:rPr>
              <w:t>0.30</w:t>
            </w:r>
          </w:p>
        </w:tc>
        <w:tc>
          <w:tcPr>
            <w:tcW w:w="854"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w:t>
            </w:r>
          </w:p>
        </w:tc>
        <w:tc>
          <w:tcPr>
            <w:tcW w:w="751"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w:t>
            </w:r>
          </w:p>
        </w:tc>
        <w:tc>
          <w:tcPr>
            <w:tcW w:w="874"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无</w:t>
            </w:r>
          </w:p>
        </w:tc>
        <w:tc>
          <w:tcPr>
            <w:tcW w:w="850" w:type="dxa"/>
            <w:vMerge w:val="restart"/>
            <w:tcBorders>
              <w:tl2br w:val="nil"/>
              <w:tr2bl w:val="nil"/>
            </w:tcBorders>
            <w:vAlign w:val="center"/>
          </w:tcPr>
          <w:p>
            <w:pPr>
              <w:pStyle w:val="84"/>
              <w:keepNext w:val="0"/>
              <w:keepLines w:val="0"/>
              <w:widowControl/>
              <w:suppressLineNumbers w:val="0"/>
              <w:spacing w:before="0" w:beforeAutospacing="0" w:after="0" w:afterAutospacing="0"/>
              <w:ind w:left="0" w:right="0"/>
              <w:rPr>
                <w:rFonts w:hint="eastAsia" w:eastAsia="仿宋_GB2312"/>
                <w:color w:val="000000" w:themeColor="text1"/>
                <w:lang w:eastAsia="zh-CN"/>
              </w:rPr>
            </w:pPr>
            <w:r>
              <w:rPr>
                <w:rFonts w:hint="eastAsia"/>
                <w:color w:val="000000" w:themeColor="text1"/>
                <w:lang w:val="en-US" w:eastAsia="zh-CN"/>
              </w:rPr>
              <w:t>0</w:t>
            </w:r>
          </w:p>
        </w:tc>
        <w:tc>
          <w:tcPr>
            <w:tcW w:w="1599" w:type="dxa"/>
            <w:vMerge w:val="restart"/>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变电站存量地场地回填</w:t>
            </w:r>
            <w:r>
              <w:rPr>
                <w:rFonts w:hint="eastAsia"/>
                <w:color w:val="000000" w:themeColor="text1"/>
                <w:lang w:val="en-US" w:eastAsia="zh-CN"/>
              </w:rPr>
              <w:t>利用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658"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②</w:t>
            </w:r>
          </w:p>
        </w:tc>
        <w:tc>
          <w:tcPr>
            <w:tcW w:w="976"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进站道路</w:t>
            </w:r>
            <w:r>
              <w:rPr>
                <w:color w:val="000000" w:themeColor="text1"/>
              </w:rPr>
              <w:t>用地区</w:t>
            </w:r>
          </w:p>
        </w:tc>
        <w:tc>
          <w:tcPr>
            <w:tcW w:w="102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w:t>
            </w:r>
          </w:p>
        </w:tc>
        <w:tc>
          <w:tcPr>
            <w:tcW w:w="718"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w:t>
            </w:r>
          </w:p>
        </w:tc>
        <w:tc>
          <w:tcPr>
            <w:tcW w:w="8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0.0</w:t>
            </w:r>
            <w:r>
              <w:rPr>
                <w:rFonts w:hint="eastAsia"/>
                <w:color w:val="000000" w:themeColor="text1"/>
                <w:lang w:val="en-US" w:eastAsia="zh-CN"/>
              </w:rPr>
              <w:t>2</w:t>
            </w:r>
          </w:p>
        </w:tc>
        <w:tc>
          <w:tcPr>
            <w:tcW w:w="854"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751"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874"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850"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1599"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658"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③</w:t>
            </w:r>
          </w:p>
        </w:tc>
        <w:tc>
          <w:tcPr>
            <w:tcW w:w="976"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电缆沟用地区</w:t>
            </w:r>
          </w:p>
        </w:tc>
        <w:tc>
          <w:tcPr>
            <w:tcW w:w="102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0.05</w:t>
            </w:r>
          </w:p>
        </w:tc>
        <w:tc>
          <w:tcPr>
            <w:tcW w:w="718"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w:t>
            </w:r>
          </w:p>
        </w:tc>
        <w:tc>
          <w:tcPr>
            <w:tcW w:w="8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0.0</w:t>
            </w:r>
            <w:r>
              <w:rPr>
                <w:rFonts w:hint="eastAsia"/>
                <w:color w:val="000000" w:themeColor="text1"/>
                <w:lang w:val="en-US" w:eastAsia="zh-CN"/>
              </w:rPr>
              <w:t>3</w:t>
            </w:r>
          </w:p>
        </w:tc>
        <w:tc>
          <w:tcPr>
            <w:tcW w:w="854"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751"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874"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850"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1599"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4" w:hRule="atLeast"/>
          <w:jc w:val="center"/>
        </w:trPr>
        <w:tc>
          <w:tcPr>
            <w:tcW w:w="1634" w:type="dxa"/>
            <w:gridSpan w:val="2"/>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合计</w:t>
            </w:r>
          </w:p>
        </w:tc>
        <w:tc>
          <w:tcPr>
            <w:tcW w:w="102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0.35</w:t>
            </w:r>
          </w:p>
        </w:tc>
        <w:tc>
          <w:tcPr>
            <w:tcW w:w="718"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w:t>
            </w:r>
          </w:p>
        </w:tc>
        <w:tc>
          <w:tcPr>
            <w:tcW w:w="852" w:type="dxa"/>
            <w:tcBorders>
              <w:tl2br w:val="nil"/>
              <w:tr2bl w:val="nil"/>
            </w:tcBorders>
            <w:vAlign w:val="center"/>
          </w:tcPr>
          <w:p>
            <w:pPr>
              <w:pStyle w:val="84"/>
              <w:keepNext w:val="0"/>
              <w:keepLines w:val="0"/>
              <w:widowControl/>
              <w:suppressLineNumbers w:val="0"/>
              <w:spacing w:before="0" w:beforeAutospacing="0" w:after="0" w:afterAutospacing="0"/>
              <w:ind w:left="0" w:right="0"/>
              <w:rPr>
                <w:rFonts w:hint="default" w:eastAsia="仿宋_GB2312"/>
                <w:color w:val="000000" w:themeColor="text1"/>
                <w:lang w:val="en-US" w:eastAsia="zh-CN"/>
              </w:rPr>
            </w:pPr>
            <w:r>
              <w:rPr>
                <w:rFonts w:hint="eastAsia"/>
                <w:color w:val="000000" w:themeColor="text1"/>
                <w:lang w:val="en-US" w:eastAsia="zh-CN"/>
              </w:rPr>
              <w:t>0.35</w:t>
            </w:r>
          </w:p>
        </w:tc>
        <w:tc>
          <w:tcPr>
            <w:tcW w:w="854"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w:t>
            </w:r>
          </w:p>
        </w:tc>
        <w:tc>
          <w:tcPr>
            <w:tcW w:w="751"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w:t>
            </w:r>
          </w:p>
        </w:tc>
        <w:tc>
          <w:tcPr>
            <w:tcW w:w="874"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w:t>
            </w:r>
          </w:p>
        </w:tc>
        <w:tc>
          <w:tcPr>
            <w:tcW w:w="850" w:type="dxa"/>
            <w:tcBorders>
              <w:tl2br w:val="nil"/>
              <w:tr2bl w:val="nil"/>
            </w:tcBorders>
            <w:vAlign w:val="center"/>
          </w:tcPr>
          <w:p>
            <w:pPr>
              <w:pStyle w:val="84"/>
              <w:keepNext w:val="0"/>
              <w:keepLines w:val="0"/>
              <w:widowControl/>
              <w:suppressLineNumbers w:val="0"/>
              <w:spacing w:before="0" w:beforeAutospacing="0" w:after="0" w:afterAutospacing="0"/>
              <w:ind w:left="0" w:right="0"/>
              <w:rPr>
                <w:rFonts w:hint="eastAsia" w:eastAsia="仿宋_GB2312"/>
                <w:color w:val="000000" w:themeColor="text1"/>
                <w:lang w:eastAsia="zh-CN"/>
              </w:rPr>
            </w:pPr>
            <w:r>
              <w:rPr>
                <w:rFonts w:hint="eastAsia"/>
                <w:color w:val="000000" w:themeColor="text1"/>
                <w:lang w:val="en-US" w:eastAsia="zh-CN"/>
              </w:rPr>
              <w:t>0</w:t>
            </w:r>
          </w:p>
        </w:tc>
        <w:tc>
          <w:tcPr>
            <w:tcW w:w="1599"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bl>
    <w:p>
      <w:pPr>
        <w:spacing w:before="120"/>
        <w:ind w:firstLine="480"/>
      </w:pPr>
      <w:bookmarkStart w:id="19" w:name="_Toc515873300"/>
      <w:r>
        <w:rPr>
          <w:rFonts w:hint="eastAsia"/>
        </w:rPr>
        <w:t>工程</w:t>
      </w:r>
      <w:r>
        <w:rPr>
          <w:rFonts w:hint="eastAsia"/>
          <w:lang w:val="en-US" w:eastAsia="zh-CN"/>
        </w:rPr>
        <w:t>占地面积较小，规模较小，土石方量较小，填方</w:t>
      </w:r>
      <w:r>
        <w:rPr>
          <w:rFonts w:hint="eastAsia"/>
        </w:rPr>
        <w:t>均在</w:t>
      </w:r>
      <w:r>
        <w:rPr>
          <w:rFonts w:hint="eastAsia"/>
          <w:lang w:val="en-US" w:eastAsia="zh-CN"/>
        </w:rPr>
        <w:t>变电站存量地回填综合利用</w:t>
      </w:r>
      <w:r>
        <w:rPr>
          <w:rFonts w:hint="eastAsia"/>
        </w:rPr>
        <w:t>，未设置弃土场。</w:t>
      </w:r>
    </w:p>
    <w:p>
      <w:pPr>
        <w:pStyle w:val="4"/>
        <w:spacing w:before="120"/>
      </w:pPr>
      <w:r>
        <w:t>征占地情况</w:t>
      </w:r>
      <w:bookmarkEnd w:id="19"/>
    </w:p>
    <w:p>
      <w:pPr>
        <w:pStyle w:val="5"/>
        <w:spacing w:before="120"/>
      </w:pPr>
      <w:r>
        <w:rPr>
          <w:rFonts w:hint="eastAsia"/>
        </w:rPr>
        <w:t>批复方案征占地情况</w:t>
      </w:r>
    </w:p>
    <w:p>
      <w:pPr>
        <w:adjustRightInd w:val="0"/>
        <w:snapToGrid w:val="0"/>
        <w:ind w:firstLine="480"/>
      </w:pPr>
      <w:r>
        <w:rPr>
          <w:rFonts w:hint="eastAsia"/>
          <w:color w:val="000000" w:themeColor="text1"/>
          <w:lang w:val="en-US" w:eastAsia="zh-CN"/>
        </w:rPr>
        <w:t>批复报告表中</w:t>
      </w:r>
      <w:r>
        <w:rPr>
          <w:rFonts w:hint="eastAsia"/>
          <w:color w:val="000000" w:themeColor="text1"/>
        </w:rPr>
        <w:t>本项目占地0.25</w:t>
      </w:r>
      <w:r>
        <w:rPr>
          <w:color w:val="000000" w:themeColor="text1"/>
        </w:rPr>
        <w:t>hm²</w:t>
      </w:r>
      <w:r>
        <w:rPr>
          <w:rFonts w:hint="eastAsia"/>
          <w:color w:val="000000" w:themeColor="text1"/>
        </w:rPr>
        <w:t>，其中</w:t>
      </w:r>
      <w:r>
        <w:rPr>
          <w:color w:val="000000" w:themeColor="text1"/>
        </w:rPr>
        <w:t>永久占地</w:t>
      </w:r>
      <w:r>
        <w:rPr>
          <w:rFonts w:hint="eastAsia"/>
          <w:color w:val="000000" w:themeColor="text1"/>
        </w:rPr>
        <w:t>0.20</w:t>
      </w:r>
      <w:r>
        <w:rPr>
          <w:color w:val="000000" w:themeColor="text1"/>
        </w:rPr>
        <w:t>hm²、临时占地</w:t>
      </w:r>
      <w:r>
        <w:rPr>
          <w:rFonts w:hint="eastAsia"/>
          <w:color w:val="000000" w:themeColor="text1"/>
        </w:rPr>
        <w:t>0.05</w:t>
      </w:r>
      <w:r>
        <w:rPr>
          <w:color w:val="000000" w:themeColor="text1"/>
        </w:rPr>
        <w:t>hm²</w:t>
      </w:r>
      <w:r>
        <w:rPr>
          <w:rFonts w:hint="eastAsia"/>
          <w:color w:val="000000" w:themeColor="text1"/>
        </w:rPr>
        <w:t>，本项目占地为变电站存量土地（原新都桥500kv输变电工程用地），</w:t>
      </w:r>
      <w:r>
        <w:rPr>
          <w:color w:val="000000" w:themeColor="text1"/>
        </w:rPr>
        <w:t>占地类型为</w:t>
      </w:r>
      <w:r>
        <w:rPr>
          <w:rFonts w:hint="eastAsia"/>
          <w:color w:val="000000" w:themeColor="text1"/>
        </w:rPr>
        <w:t>公共管理与公共服务用地</w:t>
      </w:r>
      <w:r>
        <w:t>。工程占地面积及占地类型详见表1.1-</w:t>
      </w:r>
      <w:r>
        <w:rPr>
          <w:rFonts w:hint="eastAsia"/>
          <w:lang w:val="en-US" w:eastAsia="zh-CN"/>
        </w:rPr>
        <w:t>5</w:t>
      </w:r>
      <w:r>
        <w:t>。</w:t>
      </w:r>
    </w:p>
    <w:p>
      <w:pPr>
        <w:pStyle w:val="16"/>
      </w:pPr>
      <w:r>
        <w:t>工程</w:t>
      </w:r>
      <w:r>
        <w:rPr>
          <w:rFonts w:hint="eastAsia"/>
        </w:rPr>
        <w:t>占地</w:t>
      </w:r>
      <w:r>
        <w:t>面积统计表   单位： hm²</w:t>
      </w:r>
    </w:p>
    <w:p>
      <w:pPr>
        <w:pStyle w:val="13"/>
        <w:keepNext/>
        <w:rPr>
          <w:rFonts w:hint="eastAsia"/>
          <w:lang w:val="en-US" w:eastAsia="zh-CN"/>
        </w:rPr>
      </w:pPr>
      <w:r>
        <w:rPr>
          <w:rFonts w:hint="eastAsia"/>
        </w:rPr>
        <w:t>表1.1</w:t>
      </w:r>
      <w:r>
        <w:noBreakHyphen/>
      </w:r>
      <w:r>
        <w:rPr>
          <w:rFonts w:hint="eastAsia"/>
          <w:lang w:val="en-US" w:eastAsia="zh-CN"/>
        </w:rPr>
        <w:t>5</w:t>
      </w:r>
    </w:p>
    <w:tbl>
      <w:tblPr>
        <w:tblStyle w:val="32"/>
        <w:tblW w:w="8759" w:type="dxa"/>
        <w:jc w:val="center"/>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0" w:type="dxa"/>
          <w:bottom w:w="0" w:type="dxa"/>
          <w:right w:w="0" w:type="dxa"/>
        </w:tblCellMar>
      </w:tblPr>
      <w:tblGrid>
        <w:gridCol w:w="2284"/>
        <w:gridCol w:w="2252"/>
        <w:gridCol w:w="1985"/>
        <w:gridCol w:w="2238"/>
      </w:tblGrid>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84"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项目组成</w:t>
            </w:r>
          </w:p>
        </w:tc>
        <w:tc>
          <w:tcPr>
            <w:tcW w:w="22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占地类型（h</w:t>
            </w:r>
            <w:r>
              <w:rPr>
                <w:rStyle w:val="86"/>
                <w:rFonts w:ascii="Times New Roman" w:hAnsi="Times New Roman" w:cs="Times New Roman"/>
                <w:color w:val="000000" w:themeColor="text1"/>
              </w:rPr>
              <w:t>m²</w:t>
            </w:r>
            <w:r>
              <w:rPr>
                <w:rStyle w:val="87"/>
                <w:rFonts w:hint="default" w:ascii="Times New Roman" w:cs="Times New Roman"/>
                <w:color w:val="000000" w:themeColor="text1"/>
              </w:rPr>
              <w:t>）</w:t>
            </w:r>
          </w:p>
        </w:tc>
        <w:tc>
          <w:tcPr>
            <w:tcW w:w="1985"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占地性质</w:t>
            </w:r>
          </w:p>
        </w:tc>
        <w:tc>
          <w:tcPr>
            <w:tcW w:w="2238" w:type="dxa"/>
            <w:vMerge w:val="restart"/>
            <w:tcBorders>
              <w:tl2br w:val="nil"/>
              <w:tr2bl w:val="nil"/>
            </w:tcBorders>
            <w:vAlign w:val="center"/>
          </w:tcPr>
          <w:p>
            <w:pPr>
              <w:pStyle w:val="84"/>
              <w:keepNext w:val="0"/>
              <w:keepLines w:val="0"/>
              <w:widowControl/>
              <w:suppressLineNumbers w:val="0"/>
              <w:spacing w:before="0" w:beforeAutospacing="0" w:after="0" w:afterAutospacing="0"/>
              <w:ind w:left="0" w:right="0"/>
              <w:rPr>
                <w:rFonts w:ascii="宋体" w:hAnsi="宋体" w:eastAsia="宋体" w:cs="宋体"/>
                <w:color w:val="000000" w:themeColor="text1"/>
                <w:sz w:val="22"/>
                <w:szCs w:val="22"/>
              </w:rPr>
            </w:pPr>
            <w:r>
              <w:rPr>
                <w:rFonts w:hint="eastAsia"/>
                <w:color w:val="000000" w:themeColor="text1"/>
                <w:sz w:val="22"/>
                <w:szCs w:val="22"/>
              </w:rPr>
              <w:t>备注</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84"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22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公共管理与公共服务用地</w:t>
            </w:r>
          </w:p>
        </w:tc>
        <w:tc>
          <w:tcPr>
            <w:tcW w:w="1985"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2238"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kern w:val="0"/>
              </w:rPr>
            </w:pP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84"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变电站用地区</w:t>
            </w:r>
          </w:p>
        </w:tc>
        <w:tc>
          <w:tcPr>
            <w:tcW w:w="22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0.178</w:t>
            </w:r>
          </w:p>
        </w:tc>
        <w:tc>
          <w:tcPr>
            <w:tcW w:w="1985"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永久占地</w:t>
            </w:r>
          </w:p>
        </w:tc>
        <w:tc>
          <w:tcPr>
            <w:tcW w:w="2238" w:type="dxa"/>
            <w:tcBorders>
              <w:tl2br w:val="nil"/>
              <w:tr2bl w:val="nil"/>
            </w:tcBorders>
          </w:tcPr>
          <w:p>
            <w:pPr>
              <w:pStyle w:val="84"/>
              <w:keepNext w:val="0"/>
              <w:keepLines w:val="0"/>
              <w:widowControl/>
              <w:suppressLineNumbers w:val="0"/>
              <w:spacing w:before="0" w:beforeAutospacing="0" w:after="0" w:afterAutospacing="0"/>
              <w:ind w:left="0" w:right="0"/>
              <w:jc w:val="left"/>
              <w:rPr>
                <w:color w:val="000000" w:themeColor="text1"/>
              </w:rPr>
            </w:pP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84"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进站道路</w:t>
            </w:r>
            <w:r>
              <w:rPr>
                <w:color w:val="000000" w:themeColor="text1"/>
              </w:rPr>
              <w:t>用地区</w:t>
            </w:r>
          </w:p>
        </w:tc>
        <w:tc>
          <w:tcPr>
            <w:tcW w:w="22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0.026</w:t>
            </w:r>
          </w:p>
        </w:tc>
        <w:tc>
          <w:tcPr>
            <w:tcW w:w="1985"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永久占地</w:t>
            </w:r>
          </w:p>
        </w:tc>
        <w:tc>
          <w:tcPr>
            <w:tcW w:w="2238" w:type="dxa"/>
            <w:tcBorders>
              <w:tl2br w:val="nil"/>
              <w:tr2bl w:val="nil"/>
            </w:tcBorders>
          </w:tcPr>
          <w:p>
            <w:pPr>
              <w:pStyle w:val="84"/>
              <w:keepNext w:val="0"/>
              <w:keepLines w:val="0"/>
              <w:widowControl/>
              <w:suppressLineNumbers w:val="0"/>
              <w:spacing w:before="0" w:beforeAutospacing="0" w:after="0" w:afterAutospacing="0"/>
              <w:ind w:left="0" w:right="0"/>
              <w:rPr>
                <w:color w:val="000000" w:themeColor="text1"/>
                <w:kern w:val="0"/>
              </w:rPr>
            </w:pP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84"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电缆沟用地区</w:t>
            </w:r>
          </w:p>
        </w:tc>
        <w:tc>
          <w:tcPr>
            <w:tcW w:w="22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0.05</w:t>
            </w:r>
          </w:p>
        </w:tc>
        <w:tc>
          <w:tcPr>
            <w:tcW w:w="1985"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临时占地</w:t>
            </w:r>
          </w:p>
        </w:tc>
        <w:tc>
          <w:tcPr>
            <w:tcW w:w="2238" w:type="dxa"/>
            <w:tcBorders>
              <w:tl2br w:val="nil"/>
              <w:tr2bl w:val="nil"/>
            </w:tcBorders>
          </w:tcPr>
          <w:p>
            <w:pPr>
              <w:pStyle w:val="84"/>
              <w:keepNext w:val="0"/>
              <w:keepLines w:val="0"/>
              <w:widowControl/>
              <w:suppressLineNumbers w:val="0"/>
              <w:spacing w:before="0" w:beforeAutospacing="0" w:after="0" w:afterAutospacing="0"/>
              <w:ind w:left="0" w:right="0"/>
              <w:rPr>
                <w:color w:val="000000" w:themeColor="text1"/>
                <w:kern w:val="0"/>
              </w:rPr>
            </w:pP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84"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合计</w:t>
            </w:r>
          </w:p>
        </w:tc>
        <w:tc>
          <w:tcPr>
            <w:tcW w:w="22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0.25</w:t>
            </w:r>
          </w:p>
        </w:tc>
        <w:tc>
          <w:tcPr>
            <w:tcW w:w="1985"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2238" w:type="dxa"/>
            <w:tcBorders>
              <w:tl2br w:val="nil"/>
              <w:tr2bl w:val="nil"/>
            </w:tcBorders>
          </w:tcPr>
          <w:p>
            <w:pPr>
              <w:pStyle w:val="84"/>
              <w:keepNext w:val="0"/>
              <w:keepLines w:val="0"/>
              <w:widowControl/>
              <w:suppressLineNumbers w:val="0"/>
              <w:spacing w:before="0" w:beforeAutospacing="0" w:after="0" w:afterAutospacing="0"/>
              <w:ind w:left="0" w:right="0"/>
              <w:rPr>
                <w:color w:val="000000" w:themeColor="text1"/>
                <w:kern w:val="0"/>
              </w:rPr>
            </w:pPr>
          </w:p>
        </w:tc>
      </w:tr>
    </w:tbl>
    <w:p>
      <w:pPr>
        <w:pStyle w:val="5"/>
        <w:spacing w:before="120"/>
      </w:pPr>
      <w:r>
        <w:rPr>
          <w:rFonts w:hint="eastAsia"/>
        </w:rPr>
        <w:t>施工实际征占地情况</w:t>
      </w:r>
    </w:p>
    <w:p>
      <w:pPr>
        <w:spacing w:before="120"/>
        <w:ind w:firstLine="480"/>
      </w:pPr>
      <w:r>
        <w:t>项目实际总占地面积为</w:t>
      </w:r>
      <w:r>
        <w:rPr>
          <w:rFonts w:hint="eastAsia"/>
          <w:lang w:val="en-US" w:eastAsia="zh-CN"/>
        </w:rPr>
        <w:t>0.25</w:t>
      </w:r>
      <w:r>
        <w:t>hm</w:t>
      </w:r>
      <w:r>
        <w:rPr>
          <w:vertAlign w:val="superscript"/>
        </w:rPr>
        <w:t>2</w:t>
      </w:r>
      <w:r>
        <w:t>，</w:t>
      </w:r>
      <w:r>
        <w:rPr>
          <w:rFonts w:cs="Times New Roman"/>
        </w:rPr>
        <w:t>其中永久占地</w:t>
      </w:r>
      <w:r>
        <w:rPr>
          <w:rFonts w:hint="eastAsia" w:cs="Times New Roman"/>
          <w:lang w:val="en-US" w:eastAsia="zh-CN"/>
        </w:rPr>
        <w:t>0.20</w:t>
      </w:r>
      <w:r>
        <w:rPr>
          <w:rFonts w:cs="Times New Roman"/>
        </w:rPr>
        <w:t>hm</w:t>
      </w:r>
      <w:r>
        <w:rPr>
          <w:rFonts w:cs="Times New Roman"/>
          <w:vertAlign w:val="superscript"/>
        </w:rPr>
        <w:t>2</w:t>
      </w:r>
      <w:r>
        <w:rPr>
          <w:rFonts w:cs="Times New Roman"/>
        </w:rPr>
        <w:t>，临时占地</w:t>
      </w:r>
      <w:r>
        <w:rPr>
          <w:rFonts w:hint="eastAsia" w:cs="Times New Roman"/>
          <w:lang w:val="en-US" w:eastAsia="zh-CN"/>
        </w:rPr>
        <w:t>0.05</w:t>
      </w:r>
      <w:r>
        <w:rPr>
          <w:rFonts w:cs="Times New Roman"/>
        </w:rPr>
        <w:t>hm</w:t>
      </w:r>
      <w:r>
        <w:rPr>
          <w:rFonts w:cs="Times New Roman"/>
          <w:vertAlign w:val="superscript"/>
        </w:rPr>
        <w:t>2</w:t>
      </w:r>
      <w:r>
        <w:rPr>
          <w:rFonts w:cs="Times New Roman"/>
        </w:rPr>
        <w:t>，</w:t>
      </w:r>
      <w:r>
        <w:rPr>
          <w:color w:val="000000" w:themeColor="text1"/>
        </w:rPr>
        <w:t>占地类型为</w:t>
      </w:r>
      <w:r>
        <w:rPr>
          <w:rFonts w:hint="eastAsia"/>
          <w:color w:val="000000" w:themeColor="text1"/>
        </w:rPr>
        <w:t>公共管理与公共服务用地</w:t>
      </w:r>
      <w:r>
        <w:t>。工程占地面积及占地类型详见表1.1-</w:t>
      </w:r>
      <w:r>
        <w:rPr>
          <w:rFonts w:hint="eastAsia"/>
          <w:lang w:val="en-US" w:eastAsia="zh-CN"/>
        </w:rPr>
        <w:t>6</w:t>
      </w:r>
      <w:r>
        <w:t>。</w:t>
      </w:r>
    </w:p>
    <w:p>
      <w:pPr>
        <w:spacing w:before="120"/>
        <w:ind w:firstLine="480"/>
      </w:pPr>
    </w:p>
    <w:p>
      <w:pPr>
        <w:pStyle w:val="58"/>
        <w:spacing w:before="120"/>
        <w:rPr>
          <w:color w:val="auto"/>
        </w:rPr>
      </w:pPr>
      <w:bookmarkStart w:id="20" w:name="_Toc515873301"/>
      <w:r>
        <w:rPr>
          <w:rFonts w:hint="eastAsia"/>
          <w:color w:val="auto"/>
          <w:lang w:val="en-US" w:eastAsia="zh-CN"/>
        </w:rPr>
        <w:t xml:space="preserve"> </w:t>
      </w:r>
      <w:r>
        <w:rPr>
          <w:color w:val="auto"/>
        </w:rPr>
        <w:t>工程</w:t>
      </w:r>
      <w:r>
        <w:rPr>
          <w:rFonts w:hint="eastAsia"/>
          <w:color w:val="auto"/>
          <w:lang w:val="en-US" w:eastAsia="zh-CN"/>
        </w:rPr>
        <w:t>实际</w:t>
      </w:r>
      <w:r>
        <w:rPr>
          <w:rFonts w:hint="eastAsia"/>
          <w:color w:val="auto"/>
        </w:rPr>
        <w:t>占地</w:t>
      </w:r>
      <w:r>
        <w:rPr>
          <w:color w:val="auto"/>
        </w:rPr>
        <w:t>面积统计表   单位： hm²</w:t>
      </w:r>
    </w:p>
    <w:p>
      <w:pPr>
        <w:pStyle w:val="13"/>
        <w:keepNext/>
        <w:rPr>
          <w:rFonts w:hint="eastAsia"/>
          <w:lang w:val="en-US" w:eastAsia="zh-CN"/>
        </w:rPr>
      </w:pPr>
      <w:r>
        <w:t xml:space="preserve">表 </w:t>
      </w:r>
      <w:r>
        <w:rPr>
          <w:rFonts w:hint="eastAsia"/>
        </w:rPr>
        <w:t>1.1</w:t>
      </w:r>
      <w:r>
        <w:noBreakHyphen/>
      </w:r>
      <w:r>
        <w:rPr>
          <w:rFonts w:hint="eastAsia"/>
          <w:lang w:val="en-US" w:eastAsia="zh-CN"/>
        </w:rPr>
        <w:t>6</w:t>
      </w:r>
    </w:p>
    <w:tbl>
      <w:tblPr>
        <w:tblStyle w:val="32"/>
        <w:tblW w:w="8759" w:type="dxa"/>
        <w:jc w:val="center"/>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fixed"/>
        <w:tblCellMar>
          <w:top w:w="0" w:type="dxa"/>
          <w:left w:w="0" w:type="dxa"/>
          <w:bottom w:w="0" w:type="dxa"/>
          <w:right w:w="0" w:type="dxa"/>
        </w:tblCellMar>
      </w:tblPr>
      <w:tblGrid>
        <w:gridCol w:w="2284"/>
        <w:gridCol w:w="2252"/>
        <w:gridCol w:w="1985"/>
        <w:gridCol w:w="2238"/>
      </w:tblGrid>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84"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项目组成</w:t>
            </w:r>
          </w:p>
        </w:tc>
        <w:tc>
          <w:tcPr>
            <w:tcW w:w="22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占地类型（h</w:t>
            </w:r>
            <w:r>
              <w:rPr>
                <w:rStyle w:val="86"/>
                <w:rFonts w:ascii="Times New Roman" w:hAnsi="Times New Roman" w:cs="Times New Roman"/>
                <w:color w:val="000000" w:themeColor="text1"/>
              </w:rPr>
              <w:t>m²</w:t>
            </w:r>
            <w:r>
              <w:rPr>
                <w:rStyle w:val="87"/>
                <w:rFonts w:hint="default" w:ascii="Times New Roman" w:cs="Times New Roman"/>
                <w:color w:val="000000" w:themeColor="text1"/>
              </w:rPr>
              <w:t>）</w:t>
            </w:r>
          </w:p>
        </w:tc>
        <w:tc>
          <w:tcPr>
            <w:tcW w:w="1985" w:type="dxa"/>
            <w:vMerge w:val="restart"/>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占地性质</w:t>
            </w:r>
          </w:p>
        </w:tc>
        <w:tc>
          <w:tcPr>
            <w:tcW w:w="2238" w:type="dxa"/>
            <w:vMerge w:val="restart"/>
            <w:tcBorders>
              <w:tl2br w:val="nil"/>
              <w:tr2bl w:val="nil"/>
            </w:tcBorders>
            <w:vAlign w:val="center"/>
          </w:tcPr>
          <w:p>
            <w:pPr>
              <w:pStyle w:val="84"/>
              <w:keepNext w:val="0"/>
              <w:keepLines w:val="0"/>
              <w:widowControl/>
              <w:suppressLineNumbers w:val="0"/>
              <w:spacing w:before="0" w:beforeAutospacing="0" w:after="0" w:afterAutospacing="0"/>
              <w:ind w:left="0" w:right="0"/>
              <w:rPr>
                <w:rFonts w:ascii="宋体" w:hAnsi="宋体" w:eastAsia="宋体" w:cs="宋体"/>
                <w:color w:val="000000" w:themeColor="text1"/>
                <w:sz w:val="22"/>
                <w:szCs w:val="22"/>
              </w:rPr>
            </w:pPr>
            <w:r>
              <w:rPr>
                <w:rFonts w:hint="eastAsia"/>
                <w:color w:val="000000" w:themeColor="text1"/>
                <w:sz w:val="22"/>
                <w:szCs w:val="22"/>
              </w:rPr>
              <w:t>备注</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84"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22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公共管理与公共服务用地</w:t>
            </w:r>
          </w:p>
        </w:tc>
        <w:tc>
          <w:tcPr>
            <w:tcW w:w="1985" w:type="dxa"/>
            <w:vMerge w:val="continue"/>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2238" w:type="dxa"/>
            <w:vMerge w:val="continue"/>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kern w:val="0"/>
              </w:rPr>
            </w:pP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84"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变电站用地区</w:t>
            </w:r>
          </w:p>
        </w:tc>
        <w:tc>
          <w:tcPr>
            <w:tcW w:w="22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0.178</w:t>
            </w:r>
          </w:p>
        </w:tc>
        <w:tc>
          <w:tcPr>
            <w:tcW w:w="1985"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永久占地</w:t>
            </w:r>
          </w:p>
        </w:tc>
        <w:tc>
          <w:tcPr>
            <w:tcW w:w="2238" w:type="dxa"/>
            <w:tcBorders>
              <w:tl2br w:val="nil"/>
              <w:tr2bl w:val="nil"/>
            </w:tcBorders>
          </w:tcPr>
          <w:p>
            <w:pPr>
              <w:pStyle w:val="84"/>
              <w:keepNext w:val="0"/>
              <w:keepLines w:val="0"/>
              <w:widowControl/>
              <w:suppressLineNumbers w:val="0"/>
              <w:spacing w:before="0" w:beforeAutospacing="0" w:after="0" w:afterAutospacing="0"/>
              <w:ind w:left="0" w:right="0"/>
              <w:jc w:val="left"/>
              <w:rPr>
                <w:color w:val="000000" w:themeColor="text1"/>
              </w:rPr>
            </w:pP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84"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进站道路</w:t>
            </w:r>
            <w:r>
              <w:rPr>
                <w:color w:val="000000" w:themeColor="text1"/>
              </w:rPr>
              <w:t>用地区</w:t>
            </w:r>
          </w:p>
        </w:tc>
        <w:tc>
          <w:tcPr>
            <w:tcW w:w="22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0.026</w:t>
            </w:r>
          </w:p>
        </w:tc>
        <w:tc>
          <w:tcPr>
            <w:tcW w:w="1985"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永久占地</w:t>
            </w:r>
          </w:p>
        </w:tc>
        <w:tc>
          <w:tcPr>
            <w:tcW w:w="2238" w:type="dxa"/>
            <w:tcBorders>
              <w:tl2br w:val="nil"/>
              <w:tr2bl w:val="nil"/>
            </w:tcBorders>
          </w:tcPr>
          <w:p>
            <w:pPr>
              <w:pStyle w:val="84"/>
              <w:keepNext w:val="0"/>
              <w:keepLines w:val="0"/>
              <w:widowControl/>
              <w:suppressLineNumbers w:val="0"/>
              <w:spacing w:before="0" w:beforeAutospacing="0" w:after="0" w:afterAutospacing="0"/>
              <w:ind w:left="0" w:right="0"/>
              <w:rPr>
                <w:color w:val="000000" w:themeColor="text1"/>
                <w:kern w:val="0"/>
              </w:rPr>
            </w:pP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84"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电缆沟用地区</w:t>
            </w:r>
          </w:p>
        </w:tc>
        <w:tc>
          <w:tcPr>
            <w:tcW w:w="22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0.05</w:t>
            </w:r>
          </w:p>
        </w:tc>
        <w:tc>
          <w:tcPr>
            <w:tcW w:w="1985"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临时占地</w:t>
            </w:r>
          </w:p>
        </w:tc>
        <w:tc>
          <w:tcPr>
            <w:tcW w:w="2238" w:type="dxa"/>
            <w:tcBorders>
              <w:tl2br w:val="nil"/>
              <w:tr2bl w:val="nil"/>
            </w:tcBorders>
          </w:tcPr>
          <w:p>
            <w:pPr>
              <w:pStyle w:val="84"/>
              <w:keepNext w:val="0"/>
              <w:keepLines w:val="0"/>
              <w:widowControl/>
              <w:suppressLineNumbers w:val="0"/>
              <w:spacing w:before="0" w:beforeAutospacing="0" w:after="0" w:afterAutospacing="0"/>
              <w:ind w:left="0" w:right="0"/>
              <w:rPr>
                <w:color w:val="000000" w:themeColor="text1"/>
                <w:kern w:val="0"/>
              </w:rPr>
            </w:pP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284"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kern w:val="0"/>
              </w:rPr>
              <w:t>合计</w:t>
            </w:r>
          </w:p>
        </w:tc>
        <w:tc>
          <w:tcPr>
            <w:tcW w:w="2252"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0.25</w:t>
            </w:r>
          </w:p>
        </w:tc>
        <w:tc>
          <w:tcPr>
            <w:tcW w:w="1985" w:type="dxa"/>
            <w:tcBorders>
              <w:tl2br w:val="nil"/>
              <w:tr2bl w:val="nil"/>
            </w:tcBorders>
            <w:tcMar>
              <w:top w:w="12" w:type="dxa"/>
              <w:left w:w="12" w:type="dxa"/>
              <w:right w:w="12" w:type="dxa"/>
            </w:tcMar>
            <w:vAlign w:val="center"/>
          </w:tcPr>
          <w:p>
            <w:pPr>
              <w:pStyle w:val="84"/>
              <w:keepNext w:val="0"/>
              <w:keepLines w:val="0"/>
              <w:widowControl/>
              <w:suppressLineNumbers w:val="0"/>
              <w:spacing w:before="0" w:beforeAutospacing="0" w:after="0" w:afterAutospacing="0"/>
              <w:ind w:left="0" w:right="0"/>
              <w:rPr>
                <w:color w:val="000000" w:themeColor="text1"/>
              </w:rPr>
            </w:pPr>
          </w:p>
        </w:tc>
        <w:tc>
          <w:tcPr>
            <w:tcW w:w="2238" w:type="dxa"/>
            <w:tcBorders>
              <w:tl2br w:val="nil"/>
              <w:tr2bl w:val="nil"/>
            </w:tcBorders>
          </w:tcPr>
          <w:p>
            <w:pPr>
              <w:pStyle w:val="84"/>
              <w:keepNext w:val="0"/>
              <w:keepLines w:val="0"/>
              <w:widowControl/>
              <w:suppressLineNumbers w:val="0"/>
              <w:spacing w:before="0" w:beforeAutospacing="0" w:after="0" w:afterAutospacing="0"/>
              <w:ind w:left="0" w:right="0"/>
              <w:rPr>
                <w:color w:val="000000" w:themeColor="text1"/>
                <w:kern w:val="0"/>
              </w:rPr>
            </w:pPr>
          </w:p>
        </w:tc>
      </w:tr>
    </w:tbl>
    <w:p>
      <w:pPr>
        <w:pStyle w:val="5"/>
        <w:spacing w:before="120"/>
      </w:pPr>
      <w:r>
        <w:rPr>
          <w:rFonts w:hint="eastAsia"/>
        </w:rPr>
        <w:t>占地对照情况</w:t>
      </w:r>
    </w:p>
    <w:p>
      <w:pPr>
        <w:spacing w:before="120"/>
        <w:ind w:firstLine="480"/>
      </w:pPr>
      <w:r>
        <w:rPr>
          <w:rFonts w:hint="eastAsia"/>
        </w:rPr>
        <w:t>工程实际占地面积</w:t>
      </w:r>
      <w:r>
        <w:rPr>
          <w:rFonts w:hint="eastAsia"/>
          <w:lang w:val="en-US" w:eastAsia="zh-CN"/>
        </w:rPr>
        <w:t>与</w:t>
      </w:r>
      <w:r>
        <w:rPr>
          <w:rFonts w:hint="eastAsia"/>
        </w:rPr>
        <w:t>批复水保方案</w:t>
      </w:r>
      <w:r>
        <w:rPr>
          <w:rFonts w:hint="eastAsia"/>
          <w:lang w:val="en-US" w:eastAsia="zh-CN"/>
        </w:rPr>
        <w:t>一致，</w:t>
      </w:r>
      <w:r>
        <w:rPr>
          <w:rFonts w:hint="eastAsia"/>
        </w:rPr>
        <w:t>面积未发生变化。</w:t>
      </w:r>
    </w:p>
    <w:p>
      <w:pPr>
        <w:pStyle w:val="16"/>
      </w:pPr>
      <w:r>
        <w:rPr>
          <w:rFonts w:hint="eastAsia"/>
          <w:lang w:val="en-US" w:eastAsia="zh-CN"/>
        </w:rPr>
        <w:t xml:space="preserve"> </w:t>
      </w:r>
      <w:r>
        <w:rPr>
          <w:rFonts w:hint="eastAsia"/>
        </w:rPr>
        <w:t>工程占地面积统计表</w:t>
      </w:r>
      <w:r>
        <w:t xml:space="preserve">   </w:t>
      </w:r>
      <w:r>
        <w:rPr>
          <w:rFonts w:hint="eastAsia"/>
        </w:rPr>
        <w:t>单位：</w:t>
      </w:r>
      <w:r>
        <w:t xml:space="preserve"> hm²</w:t>
      </w:r>
    </w:p>
    <w:p>
      <w:pPr>
        <w:pStyle w:val="13"/>
        <w:keepNext/>
        <w:ind w:firstLine="240" w:firstLineChars="100"/>
      </w:pPr>
      <w:r>
        <w:rPr>
          <w:rFonts w:hint="eastAsia"/>
        </w:rPr>
        <w:t>表 1.1</w:t>
      </w:r>
      <w:r>
        <w:noBreakHyphen/>
      </w:r>
      <w:r>
        <w:rPr>
          <w:rFonts w:hint="eastAsia"/>
          <w:lang w:val="en-US" w:eastAsia="zh-CN"/>
        </w:rPr>
        <w:t>7</w:t>
      </w:r>
    </w:p>
    <w:tbl>
      <w:tblPr>
        <w:tblStyle w:val="32"/>
        <w:tblW w:w="8100"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2568"/>
        <w:gridCol w:w="931"/>
        <w:gridCol w:w="931"/>
        <w:gridCol w:w="1332"/>
        <w:gridCol w:w="2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568" w:type="dxa"/>
            <w:vMerge w:val="restart"/>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防治分区</w:t>
            </w:r>
          </w:p>
        </w:tc>
        <w:tc>
          <w:tcPr>
            <w:tcW w:w="931" w:type="dxa"/>
            <w:vMerge w:val="restart"/>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批复面积</w:t>
            </w:r>
          </w:p>
        </w:tc>
        <w:tc>
          <w:tcPr>
            <w:tcW w:w="931" w:type="dxa"/>
            <w:vMerge w:val="restart"/>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实际面积</w:t>
            </w:r>
          </w:p>
        </w:tc>
        <w:tc>
          <w:tcPr>
            <w:tcW w:w="1332"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变化情况</w:t>
            </w:r>
          </w:p>
        </w:tc>
        <w:tc>
          <w:tcPr>
            <w:tcW w:w="2338" w:type="dxa"/>
            <w:vMerge w:val="restart"/>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568"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931"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931"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1332"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w:t>
            </w:r>
            <w:r>
              <w:rPr>
                <w:color w:val="auto"/>
                <w:sz w:val="18"/>
              </w:rPr>
              <w:t>+</w:t>
            </w:r>
            <w:r>
              <w:rPr>
                <w:rFonts w:hint="eastAsia"/>
                <w:color w:val="auto"/>
                <w:sz w:val="18"/>
              </w:rPr>
              <w:t>、</w:t>
            </w:r>
            <w:r>
              <w:rPr>
                <w:color w:val="auto"/>
                <w:sz w:val="18"/>
              </w:rPr>
              <w:t>-</w:t>
            </w:r>
            <w:r>
              <w:rPr>
                <w:rFonts w:hint="eastAsia"/>
                <w:color w:val="auto"/>
                <w:sz w:val="18"/>
              </w:rPr>
              <w:t>）</w:t>
            </w:r>
          </w:p>
        </w:tc>
        <w:tc>
          <w:tcPr>
            <w:tcW w:w="2338"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568" w:type="dxa"/>
            <w:tcBorders>
              <w:bottom w:val="single" w:color="000000" w:sz="2" w:space="0"/>
            </w:tcBorders>
            <w:shd w:val="clear" w:color="auto" w:fill="auto"/>
            <w:vAlign w:val="center"/>
          </w:tcPr>
          <w:p>
            <w:pPr>
              <w:pStyle w:val="84"/>
              <w:keepNext w:val="0"/>
              <w:keepLines w:val="0"/>
              <w:widowControl/>
              <w:suppressLineNumbers w:val="0"/>
              <w:spacing w:before="0" w:beforeAutospacing="0" w:after="0" w:afterAutospacing="0"/>
              <w:ind w:left="0" w:right="0" w:firstLine="0" w:firstLineChars="0"/>
              <w:rPr>
                <w:color w:val="000000"/>
                <w:sz w:val="18"/>
                <w:szCs w:val="18"/>
              </w:rPr>
            </w:pPr>
            <w:r>
              <w:rPr>
                <w:color w:val="000000" w:themeColor="text1"/>
              </w:rPr>
              <w:t>变电站用地区</w:t>
            </w:r>
          </w:p>
        </w:tc>
        <w:tc>
          <w:tcPr>
            <w:tcW w:w="931" w:type="dxa"/>
            <w:shd w:val="clear" w:color="auto" w:fill="auto"/>
            <w:vAlign w:val="center"/>
          </w:tcPr>
          <w:p>
            <w:pPr>
              <w:pStyle w:val="84"/>
              <w:keepNext w:val="0"/>
              <w:keepLines w:val="0"/>
              <w:widowControl/>
              <w:suppressLineNumbers w:val="0"/>
              <w:spacing w:before="0" w:beforeAutospacing="0" w:after="0" w:afterAutospacing="0"/>
              <w:ind w:left="0" w:right="0" w:firstLine="0" w:firstLineChars="0"/>
              <w:rPr>
                <w:color w:val="auto"/>
                <w:sz w:val="18"/>
              </w:rPr>
            </w:pPr>
            <w:r>
              <w:rPr>
                <w:rFonts w:hint="eastAsia"/>
                <w:color w:val="000000" w:themeColor="text1"/>
              </w:rPr>
              <w:t>0.178</w:t>
            </w:r>
          </w:p>
        </w:tc>
        <w:tc>
          <w:tcPr>
            <w:tcW w:w="931" w:type="dxa"/>
            <w:shd w:val="clear" w:color="auto" w:fill="auto"/>
            <w:vAlign w:val="center"/>
          </w:tcPr>
          <w:p>
            <w:pPr>
              <w:pStyle w:val="84"/>
              <w:keepNext w:val="0"/>
              <w:keepLines w:val="0"/>
              <w:widowControl/>
              <w:suppressLineNumbers w:val="0"/>
              <w:spacing w:before="0" w:beforeAutospacing="0" w:after="0" w:afterAutospacing="0"/>
              <w:ind w:left="0" w:right="0" w:firstLine="0" w:firstLineChars="0"/>
              <w:rPr>
                <w:color w:val="auto"/>
                <w:sz w:val="18"/>
              </w:rPr>
            </w:pPr>
            <w:r>
              <w:rPr>
                <w:rFonts w:hint="eastAsia"/>
                <w:color w:val="000000" w:themeColor="text1"/>
              </w:rPr>
              <w:t>0.178</w:t>
            </w:r>
          </w:p>
        </w:tc>
        <w:tc>
          <w:tcPr>
            <w:tcW w:w="1332"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　</w:t>
            </w:r>
          </w:p>
        </w:tc>
        <w:tc>
          <w:tcPr>
            <w:tcW w:w="2338" w:type="dxa"/>
            <w:vMerge w:val="restart"/>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val="en-US" w:eastAsia="zh-CN"/>
              </w:rPr>
            </w:pPr>
            <w:r>
              <w:rPr>
                <w:rFonts w:hint="eastAsia"/>
                <w:color w:val="auto"/>
                <w:sz w:val="18"/>
                <w:lang w:val="en-US" w:eastAsia="zh-CN"/>
              </w:rPr>
              <w:t>由于项目规模较小，占地面积无变化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568" w:type="dxa"/>
            <w:tcBorders>
              <w:top w:val="single" w:color="000000" w:sz="2" w:space="0"/>
              <w:bottom w:val="single" w:color="000000" w:sz="2" w:space="0"/>
            </w:tcBorders>
            <w:shd w:val="clear" w:color="auto" w:fill="auto"/>
            <w:vAlign w:val="center"/>
          </w:tcPr>
          <w:p>
            <w:pPr>
              <w:pStyle w:val="84"/>
              <w:keepNext w:val="0"/>
              <w:keepLines w:val="0"/>
              <w:widowControl/>
              <w:suppressLineNumbers w:val="0"/>
              <w:spacing w:before="0" w:beforeAutospacing="0" w:after="0" w:afterAutospacing="0"/>
              <w:ind w:left="0" w:right="0" w:firstLine="0" w:firstLineChars="0"/>
              <w:rPr>
                <w:color w:val="000000"/>
                <w:sz w:val="18"/>
                <w:szCs w:val="18"/>
              </w:rPr>
            </w:pPr>
            <w:r>
              <w:rPr>
                <w:color w:val="000000" w:themeColor="text1"/>
                <w:kern w:val="0"/>
              </w:rPr>
              <w:t>进站道路</w:t>
            </w:r>
            <w:r>
              <w:rPr>
                <w:color w:val="000000" w:themeColor="text1"/>
              </w:rPr>
              <w:t>用地区</w:t>
            </w:r>
          </w:p>
        </w:tc>
        <w:tc>
          <w:tcPr>
            <w:tcW w:w="931" w:type="dxa"/>
            <w:shd w:val="clear" w:color="auto" w:fill="auto"/>
            <w:vAlign w:val="center"/>
          </w:tcPr>
          <w:p>
            <w:pPr>
              <w:pStyle w:val="84"/>
              <w:keepNext w:val="0"/>
              <w:keepLines w:val="0"/>
              <w:widowControl/>
              <w:suppressLineNumbers w:val="0"/>
              <w:spacing w:before="0" w:beforeAutospacing="0" w:after="0" w:afterAutospacing="0"/>
              <w:ind w:left="0" w:right="0" w:firstLine="0" w:firstLineChars="0"/>
              <w:rPr>
                <w:color w:val="auto"/>
                <w:sz w:val="18"/>
              </w:rPr>
            </w:pPr>
            <w:r>
              <w:rPr>
                <w:rFonts w:hint="eastAsia"/>
                <w:color w:val="000000" w:themeColor="text1"/>
              </w:rPr>
              <w:t>0.026</w:t>
            </w:r>
          </w:p>
        </w:tc>
        <w:tc>
          <w:tcPr>
            <w:tcW w:w="931" w:type="dxa"/>
            <w:shd w:val="clear" w:color="auto" w:fill="auto"/>
            <w:vAlign w:val="center"/>
          </w:tcPr>
          <w:p>
            <w:pPr>
              <w:pStyle w:val="84"/>
              <w:keepNext w:val="0"/>
              <w:keepLines w:val="0"/>
              <w:widowControl/>
              <w:suppressLineNumbers w:val="0"/>
              <w:spacing w:before="0" w:beforeAutospacing="0" w:after="0" w:afterAutospacing="0"/>
              <w:ind w:left="0" w:right="0" w:firstLine="0" w:firstLineChars="0"/>
              <w:rPr>
                <w:color w:val="auto"/>
                <w:sz w:val="18"/>
              </w:rPr>
            </w:pPr>
            <w:r>
              <w:rPr>
                <w:rFonts w:hint="eastAsia"/>
                <w:color w:val="000000" w:themeColor="text1"/>
              </w:rPr>
              <w:t>0.026</w:t>
            </w:r>
          </w:p>
        </w:tc>
        <w:tc>
          <w:tcPr>
            <w:tcW w:w="1332"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　</w:t>
            </w:r>
          </w:p>
        </w:tc>
        <w:tc>
          <w:tcPr>
            <w:tcW w:w="2338"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568" w:type="dxa"/>
            <w:tcBorders>
              <w:top w:val="single" w:color="000000" w:sz="2" w:space="0"/>
              <w:bottom w:val="single" w:color="000000" w:sz="2" w:space="0"/>
            </w:tcBorders>
            <w:shd w:val="clear" w:color="auto" w:fill="auto"/>
            <w:vAlign w:val="center"/>
          </w:tcPr>
          <w:p>
            <w:pPr>
              <w:pStyle w:val="84"/>
              <w:keepNext w:val="0"/>
              <w:keepLines w:val="0"/>
              <w:widowControl/>
              <w:suppressLineNumbers w:val="0"/>
              <w:spacing w:before="0" w:beforeAutospacing="0" w:after="0" w:afterAutospacing="0"/>
              <w:ind w:left="0" w:right="0" w:firstLine="0" w:firstLineChars="0"/>
              <w:rPr>
                <w:b/>
                <w:bCs/>
                <w:color w:val="auto"/>
                <w:sz w:val="18"/>
              </w:rPr>
            </w:pPr>
            <w:r>
              <w:rPr>
                <w:color w:val="000000" w:themeColor="text1"/>
              </w:rPr>
              <w:t>电缆沟用地区</w:t>
            </w:r>
          </w:p>
        </w:tc>
        <w:tc>
          <w:tcPr>
            <w:tcW w:w="931" w:type="dxa"/>
            <w:shd w:val="clear" w:color="auto" w:fill="auto"/>
            <w:vAlign w:val="center"/>
          </w:tcPr>
          <w:p>
            <w:pPr>
              <w:pStyle w:val="84"/>
              <w:keepNext w:val="0"/>
              <w:keepLines w:val="0"/>
              <w:widowControl/>
              <w:suppressLineNumbers w:val="0"/>
              <w:spacing w:before="0" w:beforeAutospacing="0" w:after="0" w:afterAutospacing="0"/>
              <w:ind w:left="0" w:right="0" w:firstLine="0" w:firstLineChars="0"/>
              <w:rPr>
                <w:rFonts w:hint="default" w:eastAsia="仿宋_GB2312"/>
                <w:b/>
                <w:color w:val="auto"/>
                <w:sz w:val="18"/>
                <w:lang w:val="en-US" w:eastAsia="zh-CN"/>
              </w:rPr>
            </w:pPr>
            <w:r>
              <w:rPr>
                <w:rFonts w:hint="eastAsia"/>
                <w:color w:val="000000" w:themeColor="text1"/>
              </w:rPr>
              <w:t>0.05</w:t>
            </w:r>
          </w:p>
        </w:tc>
        <w:tc>
          <w:tcPr>
            <w:tcW w:w="931" w:type="dxa"/>
            <w:shd w:val="clear" w:color="auto" w:fill="auto"/>
            <w:vAlign w:val="center"/>
          </w:tcPr>
          <w:p>
            <w:pPr>
              <w:pStyle w:val="84"/>
              <w:keepNext w:val="0"/>
              <w:keepLines w:val="0"/>
              <w:widowControl/>
              <w:suppressLineNumbers w:val="0"/>
              <w:spacing w:before="0" w:beforeAutospacing="0" w:after="0" w:afterAutospacing="0"/>
              <w:ind w:left="0" w:right="0" w:firstLine="0" w:firstLineChars="0"/>
              <w:rPr>
                <w:rFonts w:hint="default" w:eastAsia="仿宋_GB2312"/>
                <w:b/>
                <w:color w:val="auto"/>
                <w:sz w:val="18"/>
                <w:lang w:val="en-US" w:eastAsia="zh-CN"/>
              </w:rPr>
            </w:pPr>
            <w:r>
              <w:rPr>
                <w:rFonts w:hint="eastAsia"/>
                <w:color w:val="000000" w:themeColor="text1"/>
              </w:rPr>
              <w:t>0.05</w:t>
            </w:r>
          </w:p>
        </w:tc>
        <w:tc>
          <w:tcPr>
            <w:tcW w:w="1332" w:type="dxa"/>
            <w:shd w:val="clear" w:color="auto" w:fill="auto"/>
            <w:vAlign w:val="center"/>
          </w:tcPr>
          <w:p>
            <w:pPr>
              <w:pStyle w:val="53"/>
              <w:keepNext w:val="0"/>
              <w:keepLines w:val="0"/>
              <w:widowControl/>
              <w:suppressLineNumbers w:val="0"/>
              <w:spacing w:before="0" w:beforeAutospacing="0" w:after="0" w:afterAutospacing="0"/>
              <w:ind w:left="0" w:right="0"/>
              <w:rPr>
                <w:b/>
                <w:color w:val="auto"/>
                <w:sz w:val="18"/>
              </w:rPr>
            </w:pPr>
          </w:p>
        </w:tc>
        <w:tc>
          <w:tcPr>
            <w:tcW w:w="2338"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568" w:type="dxa"/>
            <w:shd w:val="clear" w:color="auto" w:fill="auto"/>
            <w:vAlign w:val="center"/>
          </w:tcPr>
          <w:p>
            <w:pPr>
              <w:pStyle w:val="53"/>
              <w:keepNext w:val="0"/>
              <w:keepLines w:val="0"/>
              <w:widowControl/>
              <w:suppressLineNumbers w:val="0"/>
              <w:spacing w:before="0" w:beforeAutospacing="0" w:after="0" w:afterAutospacing="0"/>
              <w:ind w:left="0" w:right="0"/>
              <w:rPr>
                <w:b/>
                <w:bCs/>
                <w:color w:val="auto"/>
                <w:sz w:val="18"/>
              </w:rPr>
            </w:pPr>
            <w:r>
              <w:rPr>
                <w:rFonts w:hint="eastAsia"/>
                <w:b/>
                <w:bCs/>
                <w:color w:val="auto"/>
                <w:sz w:val="18"/>
              </w:rPr>
              <w:t>合计</w:t>
            </w:r>
          </w:p>
        </w:tc>
        <w:tc>
          <w:tcPr>
            <w:tcW w:w="931"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b/>
                <w:color w:val="auto"/>
                <w:sz w:val="18"/>
                <w:lang w:val="en-US" w:eastAsia="zh-CN"/>
              </w:rPr>
            </w:pPr>
            <w:r>
              <w:rPr>
                <w:rFonts w:hint="eastAsia"/>
                <w:b/>
                <w:color w:val="auto"/>
                <w:sz w:val="18"/>
                <w:lang w:val="en-US" w:eastAsia="zh-CN"/>
              </w:rPr>
              <w:t>0.25</w:t>
            </w:r>
          </w:p>
        </w:tc>
        <w:tc>
          <w:tcPr>
            <w:tcW w:w="931"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b/>
                <w:color w:val="auto"/>
                <w:sz w:val="18"/>
                <w:lang w:val="en-US" w:eastAsia="zh-CN"/>
              </w:rPr>
            </w:pPr>
            <w:r>
              <w:rPr>
                <w:rFonts w:hint="eastAsia"/>
                <w:b/>
                <w:color w:val="auto"/>
                <w:sz w:val="18"/>
                <w:lang w:val="en-US" w:eastAsia="zh-CN"/>
              </w:rPr>
              <w:t>0.25</w:t>
            </w:r>
          </w:p>
        </w:tc>
        <w:tc>
          <w:tcPr>
            <w:tcW w:w="1332"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b/>
                <w:color w:val="auto"/>
                <w:sz w:val="18"/>
                <w:lang w:val="en-US" w:eastAsia="zh-CN"/>
              </w:rPr>
            </w:pPr>
            <w:r>
              <w:rPr>
                <w:rFonts w:hint="eastAsia"/>
                <w:b/>
                <w:color w:val="auto"/>
                <w:sz w:val="18"/>
                <w:lang w:val="en-US" w:eastAsia="zh-CN"/>
              </w:rPr>
              <w:t>0</w:t>
            </w:r>
          </w:p>
        </w:tc>
        <w:tc>
          <w:tcPr>
            <w:tcW w:w="233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　</w:t>
            </w:r>
          </w:p>
        </w:tc>
      </w:tr>
    </w:tbl>
    <w:p>
      <w:pPr>
        <w:pStyle w:val="4"/>
        <w:spacing w:before="120"/>
      </w:pPr>
      <w:r>
        <w:t>移民安置和专项设施改（迁）建</w:t>
      </w:r>
      <w:bookmarkEnd w:id="20"/>
    </w:p>
    <w:p>
      <w:pPr>
        <w:spacing w:before="120"/>
        <w:ind w:firstLine="480"/>
      </w:pPr>
      <w:bookmarkStart w:id="21" w:name="_Toc515873302"/>
      <w:r>
        <w:t>项目的建设不涉及居民拆迁和专项设施的迁改建。</w:t>
      </w:r>
    </w:p>
    <w:p>
      <w:pPr>
        <w:pStyle w:val="2"/>
        <w:spacing w:before="120" w:after="120"/>
        <w:ind w:firstLine="0" w:firstLineChars="0"/>
        <w:rPr>
          <w:b/>
          <w:bCs/>
        </w:rPr>
      </w:pPr>
      <w:bookmarkStart w:id="22" w:name="_Toc11405"/>
      <w:r>
        <w:rPr>
          <w:rFonts w:hint="eastAsia"/>
          <w:b/>
          <w:bCs/>
        </w:rPr>
        <w:t xml:space="preserve">1.2  </w:t>
      </w:r>
      <w:r>
        <w:rPr>
          <w:b/>
          <w:bCs/>
        </w:rPr>
        <w:t>项目区概况</w:t>
      </w:r>
      <w:bookmarkEnd w:id="21"/>
      <w:bookmarkEnd w:id="22"/>
    </w:p>
    <w:p>
      <w:pPr>
        <w:pStyle w:val="4"/>
        <w:numPr>
          <w:ilvl w:val="2"/>
          <w:numId w:val="0"/>
        </w:numPr>
        <w:spacing w:before="120"/>
      </w:pPr>
      <w:bookmarkStart w:id="23" w:name="_Toc515873303"/>
      <w:r>
        <w:rPr>
          <w:rFonts w:hint="eastAsia"/>
        </w:rPr>
        <w:t xml:space="preserve">1.2.1  </w:t>
      </w:r>
      <w:r>
        <w:t>自然条件</w:t>
      </w:r>
      <w:bookmarkEnd w:id="23"/>
    </w:p>
    <w:p>
      <w:pPr>
        <w:pStyle w:val="5"/>
        <w:numPr>
          <w:ilvl w:val="3"/>
          <w:numId w:val="0"/>
        </w:numPr>
        <w:spacing w:before="120"/>
      </w:pPr>
      <w:r>
        <w:rPr>
          <w:rFonts w:hint="eastAsia"/>
        </w:rPr>
        <w:t xml:space="preserve">1.2.1.1  </w:t>
      </w:r>
      <w:r>
        <w:t>地形、地貌</w:t>
      </w:r>
    </w:p>
    <w:p>
      <w:pPr>
        <w:spacing w:before="120"/>
        <w:ind w:firstLine="480"/>
        <w:rPr>
          <w:bCs/>
          <w:lang w:val="zh-CN"/>
        </w:rPr>
      </w:pPr>
      <w:r>
        <w:rPr>
          <w:rFonts w:hint="eastAsia"/>
          <w:color w:val="000000" w:themeColor="text1"/>
          <w:szCs w:val="24"/>
          <w:lang w:val="en-US" w:eastAsia="zh-CN"/>
        </w:rPr>
        <w:t>项目</w:t>
      </w:r>
      <w:r>
        <w:rPr>
          <w:rFonts w:hint="eastAsia"/>
          <w:color w:val="000000" w:themeColor="text1"/>
          <w:szCs w:val="24"/>
        </w:rPr>
        <w:t>场地处于丘状高原区河流二级阶地与山麓斜坡交汇部位，地势平缓开阔，场地海拔高程3475～3490m，最大相对高差约15m，勘测区整体地面坡度约5°，局部斜坡约30°</w:t>
      </w:r>
      <w:r>
        <w:rPr>
          <w:bCs/>
          <w:lang w:val="zh-CN"/>
        </w:rPr>
        <w:t>。</w:t>
      </w:r>
    </w:p>
    <w:p>
      <w:pPr>
        <w:pStyle w:val="5"/>
        <w:numPr>
          <w:ilvl w:val="3"/>
          <w:numId w:val="0"/>
        </w:numPr>
        <w:spacing w:before="120"/>
      </w:pPr>
      <w:r>
        <w:rPr>
          <w:rFonts w:hint="eastAsia"/>
        </w:rPr>
        <w:t xml:space="preserve">1.2.1.2  </w:t>
      </w:r>
      <w:r>
        <w:t>地质</w:t>
      </w:r>
    </w:p>
    <w:p>
      <w:pPr>
        <w:pStyle w:val="88"/>
        <w:rPr>
          <w:rFonts w:hint="eastAsia"/>
          <w:color w:val="000000" w:themeColor="text1"/>
          <w:lang w:val="en-US" w:eastAsia="zh-CN"/>
        </w:rPr>
      </w:pPr>
      <w:r>
        <w:rPr>
          <w:rFonts w:hint="eastAsia"/>
          <w:color w:val="000000" w:themeColor="text1"/>
          <w:lang w:val="en-US" w:eastAsia="zh-CN"/>
        </w:rPr>
        <w:t>1、地质概况</w:t>
      </w:r>
    </w:p>
    <w:p>
      <w:pPr>
        <w:pStyle w:val="88"/>
        <w:rPr>
          <w:color w:val="000000" w:themeColor="text1"/>
        </w:rPr>
      </w:pPr>
      <w:r>
        <w:rPr>
          <w:rFonts w:hint="eastAsia"/>
          <w:color w:val="000000" w:themeColor="text1"/>
          <w:lang w:val="en-US" w:eastAsia="zh-CN"/>
        </w:rPr>
        <w:t>项目</w:t>
      </w:r>
      <w:r>
        <w:rPr>
          <w:rFonts w:hint="eastAsia"/>
          <w:color w:val="000000" w:themeColor="text1"/>
        </w:rPr>
        <w:t>场地由第四系全新统人工填土层（Q4ml）、冲洪积（Qhal+pl）地层、坡洪积（Qhdl+pl）三迭系上统新都桥（T3xn）板岩地层组成，由于场地下部分布有强度较高的碎石土，本次勘探仅针对覆盖层进行，按岩土体的力学性质可分为有①层人工填土、②层粉质粘土、③层可塑状含角砾（碎石）粘性土、④层碎石及卵石，分述如下：</w:t>
      </w:r>
    </w:p>
    <w:p>
      <w:pPr>
        <w:pStyle w:val="88"/>
        <w:rPr>
          <w:color w:val="000000" w:themeColor="text1"/>
        </w:rPr>
      </w:pPr>
      <w:r>
        <w:rPr>
          <w:rFonts w:hint="eastAsia"/>
          <w:color w:val="000000" w:themeColor="text1"/>
        </w:rPr>
        <w:t>①层人工填土：黄褐色，主要成分为素填土，混板岩碎石及角砾，含量约30%，含大量植物根系，厚约1.5～10.0m，由已建新都桥500kV变电站场平回填造成。</w:t>
      </w:r>
    </w:p>
    <w:p>
      <w:pPr>
        <w:pStyle w:val="88"/>
        <w:rPr>
          <w:color w:val="000000" w:themeColor="text1"/>
        </w:rPr>
      </w:pPr>
      <w:r>
        <w:rPr>
          <w:rFonts w:hint="eastAsia"/>
          <w:color w:val="000000" w:themeColor="text1"/>
        </w:rPr>
        <w:t>②层粉质粘土：以可塑为主、次为硬塑，混板岩碎石及角砾，含量约10%，厚约0.60～3.00m，在拟建场地人工填土层下广泛分布。</w:t>
      </w:r>
    </w:p>
    <w:p>
      <w:pPr>
        <w:pStyle w:val="88"/>
        <w:rPr>
          <w:color w:val="000000" w:themeColor="text1"/>
        </w:rPr>
      </w:pPr>
      <w:r>
        <w:rPr>
          <w:rFonts w:hint="eastAsia"/>
          <w:color w:val="000000" w:themeColor="text1"/>
        </w:rPr>
        <w:t>③层含角砾（碎石）粘性土：可塑，以粉质粘土为主，含角砾（碎石）约25～35%，母岩成分为中等风化状板岩，一般粒径约2～7cm，最大粒径约14cm，厚约0.60～21.50m，一般多分布于②层粉质粘土与④层碎（卵）石间，偶有呈透镜体状分布于④层碎（卵）石中。</w:t>
      </w:r>
    </w:p>
    <w:p>
      <w:pPr>
        <w:pStyle w:val="88"/>
        <w:rPr>
          <w:color w:val="000000" w:themeColor="text1"/>
        </w:rPr>
      </w:pPr>
      <w:r>
        <w:rPr>
          <w:rFonts w:hint="eastAsia"/>
          <w:color w:val="000000" w:themeColor="text1"/>
        </w:rPr>
        <w:t>④层碎（卵）石：中密为主，局部呈稍密状，母岩成分多以板岩为主，一般粒径约2～8cm，最大粒径约12cm，骨架颗粒呈棱角状～次棱角状（碎石）或圆形～亚圆形（卵石），质较硬，中风化状，其间充填硬塑～可塑状粉质粘土，含量约30～40%。</w:t>
      </w:r>
    </w:p>
    <w:p>
      <w:pPr>
        <w:ind w:firstLine="480"/>
        <w:rPr>
          <w:rFonts w:cs="Times New Roman"/>
        </w:rPr>
      </w:pPr>
      <w:r>
        <w:rPr>
          <w:rFonts w:hint="eastAsia"/>
          <w:color w:val="000000" w:themeColor="text1"/>
        </w:rPr>
        <w:t>基岩为三迭系上统新都桥组（T3xn）灰黑色板岩，变余结构，板状构造，裂隙较发育，该层在整个场地埋藏相对较深，在勘测深度范围内未有揭露</w:t>
      </w:r>
      <w:r>
        <w:rPr>
          <w:rFonts w:cs="Times New Roman"/>
        </w:rPr>
        <w:t>。</w:t>
      </w:r>
    </w:p>
    <w:p>
      <w:pPr>
        <w:spacing w:before="120"/>
        <w:ind w:firstLine="480"/>
      </w:pPr>
      <w:r>
        <w:t>2、</w:t>
      </w:r>
      <w:r>
        <w:rPr>
          <w:rFonts w:hint="eastAsia"/>
          <w:lang w:val="en-US" w:eastAsia="zh-CN"/>
        </w:rPr>
        <w:t>水文地质</w:t>
      </w:r>
    </w:p>
    <w:p>
      <w:pPr>
        <w:pStyle w:val="88"/>
        <w:rPr>
          <w:color w:val="000000" w:themeColor="text1"/>
        </w:rPr>
      </w:pPr>
      <w:r>
        <w:rPr>
          <w:rFonts w:hint="eastAsia"/>
          <w:color w:val="000000" w:themeColor="text1"/>
        </w:rPr>
        <w:t>场地地下水主要由第四系土层中的上层滞水、潜水和基岩中的风化带裂隙水组成。上层滞水多分布于拟建场地地势相对较高的坡积或冲洪积碎石土层中，多受大气降水和地表水补给，具有明显的季节性，在局部具有一定的承压性，其水量受季节性的影响较大，对基础施工影响有限，可临时采取抽排水措施进行处理。潜水多分布于拟建场地地势低洼地带及一级阶地的卵石土层中，多受大气降水、地表水和地下径流的补给，水量相对丰富，但其埋藏相对较深，对基础施工的影响与基础埋置深度有关。基岩风化带裂隙水多赋存于场地的新都桥组（T3xn）深灰色板岩中，由于风化作用强烈和裂隙较为发育，在区域上形成基岩风化带网状裂隙水，主要受地表水和地下径流的补给，水量较丰，其埋藏深度较大，对基础施工无影响。</w:t>
      </w:r>
    </w:p>
    <w:p>
      <w:pPr>
        <w:pStyle w:val="88"/>
        <w:rPr>
          <w:color w:val="000000" w:themeColor="text1"/>
        </w:rPr>
      </w:pPr>
      <w:r>
        <w:rPr>
          <w:rFonts w:hint="eastAsia"/>
          <w:color w:val="000000" w:themeColor="text1"/>
        </w:rPr>
        <w:t>场地地下水对混凝土结构和钢筋混凝土结构中的钢筋有微腐蚀性。</w:t>
      </w:r>
    </w:p>
    <w:p>
      <w:pPr>
        <w:pStyle w:val="88"/>
        <w:rPr>
          <w:color w:val="000000" w:themeColor="text1"/>
        </w:rPr>
      </w:pPr>
      <w:r>
        <w:rPr>
          <w:rFonts w:hint="eastAsia"/>
          <w:color w:val="000000" w:themeColor="text1"/>
        </w:rPr>
        <w:t>3</w:t>
      </w:r>
      <w:r>
        <w:rPr>
          <w:color w:val="000000" w:themeColor="text1"/>
        </w:rPr>
        <w:t>、地震</w:t>
      </w:r>
    </w:p>
    <w:p>
      <w:pPr>
        <w:pStyle w:val="88"/>
        <w:rPr>
          <w:color w:val="000000" w:themeColor="text1"/>
        </w:rPr>
      </w:pPr>
      <w:r>
        <w:rPr>
          <w:rFonts w:hint="eastAsia"/>
          <w:color w:val="000000" w:themeColor="text1"/>
        </w:rPr>
        <w:t>据《新都桥500kV变电站新建工程场地地震安全性评价报告》及《中国地震动参数区划图》（GB18306-2015），工程场地的地震基本烈度为Ⅷ度，50年超越概率10%下的基岩水平峰值加速度为198cm/sec2，地震动反应谱特征周期值为0.40s；计基本地震动加速度值为0.20g，设计地震分组为第二组。</w:t>
      </w:r>
    </w:p>
    <w:p>
      <w:pPr>
        <w:pStyle w:val="88"/>
        <w:rPr>
          <w:color w:val="000000" w:themeColor="text1"/>
        </w:rPr>
      </w:pPr>
      <w:r>
        <w:rPr>
          <w:rFonts w:hint="eastAsia"/>
          <w:color w:val="000000" w:themeColor="text1"/>
        </w:rPr>
        <w:t>4</w:t>
      </w:r>
      <w:r>
        <w:rPr>
          <w:color w:val="000000" w:themeColor="text1"/>
        </w:rPr>
        <w:t>、不良地质</w:t>
      </w:r>
    </w:p>
    <w:p>
      <w:pPr>
        <w:spacing w:before="120"/>
        <w:ind w:firstLine="480"/>
        <w:jc w:val="left"/>
        <w:rPr>
          <w:rFonts w:hint="eastAsia" w:eastAsia="仿宋_GB2312"/>
          <w:lang w:eastAsia="zh-CN"/>
        </w:rPr>
      </w:pPr>
      <w:r>
        <w:rPr>
          <w:rFonts w:hint="eastAsia"/>
          <w:color w:val="000000" w:themeColor="text1"/>
        </w:rPr>
        <w:t>据场地工程地质调查，场地内及附近不良地质作用总体不发育，未见滑坡、泥石流等地质灾害</w:t>
      </w:r>
      <w:r>
        <w:rPr>
          <w:rFonts w:hint="eastAsia" w:cs="Times New Roman"/>
          <w:lang w:eastAsia="zh-CN"/>
        </w:rPr>
        <w:t>。</w:t>
      </w:r>
    </w:p>
    <w:p>
      <w:pPr>
        <w:pStyle w:val="5"/>
        <w:numPr>
          <w:ilvl w:val="3"/>
          <w:numId w:val="0"/>
        </w:numPr>
        <w:spacing w:before="120"/>
      </w:pPr>
      <w:r>
        <w:rPr>
          <w:rFonts w:hint="eastAsia"/>
        </w:rPr>
        <w:t xml:space="preserve">1.2.1.3  </w:t>
      </w:r>
      <w:r>
        <w:t>气象</w:t>
      </w:r>
    </w:p>
    <w:p>
      <w:pPr>
        <w:spacing w:before="120"/>
        <w:ind w:firstLine="480"/>
      </w:pPr>
      <w:r>
        <w:rPr>
          <w:color w:val="000000" w:themeColor="text1"/>
        </w:rPr>
        <w:t xml:space="preserve">项目区属亚热带温暖湿润季风气候区，具气温高、湿度大、雨量充沛、无霜期长的特点，南部山区由地形高差造成的气候垂直变化明显。多年平均气温为 </w:t>
      </w:r>
      <w:r>
        <w:rPr>
          <w:rFonts w:hint="eastAsia"/>
          <w:color w:val="000000" w:themeColor="text1"/>
        </w:rPr>
        <w:t>7.3</w:t>
      </w:r>
      <w:r>
        <w:rPr>
          <w:rFonts w:hint="eastAsia" w:ascii="宋体" w:hAnsi="宋体" w:eastAsia="宋体" w:cs="宋体"/>
          <w:color w:val="000000" w:themeColor="text1"/>
        </w:rPr>
        <w:t>℃</w:t>
      </w:r>
      <w:r>
        <w:rPr>
          <w:rFonts w:hint="eastAsia"/>
          <w:color w:val="000000" w:themeColor="text1"/>
        </w:rPr>
        <w:t>，</w:t>
      </w:r>
      <w:r>
        <w:rPr>
          <w:color w:val="000000" w:themeColor="text1"/>
        </w:rPr>
        <w:t xml:space="preserve">极端最高温度为 </w:t>
      </w:r>
      <w:r>
        <w:rPr>
          <w:rFonts w:hint="eastAsia"/>
          <w:color w:val="000000" w:themeColor="text1"/>
        </w:rPr>
        <w:t>26.2</w:t>
      </w:r>
      <w:r>
        <w:rPr>
          <w:rFonts w:hint="eastAsia" w:ascii="宋体" w:hAnsi="宋体" w:eastAsia="宋体" w:cs="宋体"/>
          <w:color w:val="000000" w:themeColor="text1"/>
        </w:rPr>
        <w:t>℃</w:t>
      </w:r>
      <w:r>
        <w:rPr>
          <w:color w:val="000000" w:themeColor="text1"/>
        </w:rPr>
        <w:t>，极端最低气温-</w:t>
      </w:r>
      <w:r>
        <w:rPr>
          <w:rFonts w:hint="eastAsia"/>
          <w:color w:val="000000" w:themeColor="text1"/>
        </w:rPr>
        <w:t>10.8</w:t>
      </w:r>
      <w:r>
        <w:rPr>
          <w:rFonts w:hint="eastAsia" w:ascii="宋体" w:hAnsi="宋体" w:eastAsia="宋体" w:cs="宋体"/>
          <w:color w:val="000000" w:themeColor="text1"/>
        </w:rPr>
        <w:t>℃</w:t>
      </w:r>
      <w:r>
        <w:rPr>
          <w:color w:val="000000" w:themeColor="text1"/>
        </w:rPr>
        <w:t>。多年平均相对湿度为 82%，其中 3～5 月平均相对湿度小于 80%，其余各月均在 80%以上，潮湿系数在 1.3 以上。多年平均降雨量</w:t>
      </w:r>
      <w:r>
        <w:rPr>
          <w:rFonts w:hint="eastAsia"/>
          <w:color w:val="000000" w:themeColor="text1"/>
        </w:rPr>
        <w:t>约954mm</w:t>
      </w:r>
      <w:r>
        <w:rPr>
          <w:color w:val="000000" w:themeColor="text1"/>
        </w:rPr>
        <w:t>，年内分配不均匀，集中在 6、7、8、9四个月，占全年的 70%以上。红层丘陵区常常出现冬春两头旱，夏雨来得迟，秋季洪害的情况。项目区内达到 10</w:t>
      </w:r>
      <w:r>
        <w:rPr>
          <w:rFonts w:hint="eastAsia" w:ascii="宋体" w:hAnsi="宋体" w:eastAsia="宋体" w:cs="宋体"/>
          <w:color w:val="000000" w:themeColor="text1"/>
        </w:rPr>
        <w:t>℃</w:t>
      </w:r>
      <w:r>
        <w:rPr>
          <w:color w:val="000000" w:themeColor="text1"/>
        </w:rPr>
        <w:t>的积温均在 4500</w:t>
      </w:r>
      <w:r>
        <w:rPr>
          <w:rFonts w:hint="eastAsia" w:ascii="宋体" w:hAnsi="宋体" w:eastAsia="宋体" w:cs="宋体"/>
          <w:color w:val="000000" w:themeColor="text1"/>
        </w:rPr>
        <w:t>℃</w:t>
      </w:r>
      <w:r>
        <w:rPr>
          <w:color w:val="000000" w:themeColor="text1"/>
        </w:rPr>
        <w:t>以上，有利于本项目后期植被恢复。主要灾害性天气为连续性阴雨、洪涝、干旱、大风、冰雹、寒潮、霜冻等</w:t>
      </w:r>
      <w:r>
        <w:t>。</w:t>
      </w:r>
    </w:p>
    <w:p>
      <w:pPr>
        <w:pStyle w:val="5"/>
        <w:numPr>
          <w:ilvl w:val="3"/>
          <w:numId w:val="0"/>
        </w:numPr>
        <w:spacing w:before="120"/>
      </w:pPr>
      <w:r>
        <w:rPr>
          <w:rFonts w:hint="eastAsia"/>
        </w:rPr>
        <w:t xml:space="preserve">1.2.1.4  </w:t>
      </w:r>
      <w:r>
        <w:t>水文</w:t>
      </w:r>
    </w:p>
    <w:p>
      <w:pPr>
        <w:pStyle w:val="88"/>
        <w:rPr>
          <w:color w:val="000000" w:themeColor="text1"/>
        </w:rPr>
      </w:pPr>
      <w:r>
        <w:rPr>
          <w:rFonts w:hint="eastAsia"/>
          <w:color w:val="000000" w:themeColor="text1"/>
          <w:szCs w:val="24"/>
          <w:lang w:val="en-US" w:eastAsia="zh-CN"/>
        </w:rPr>
        <w:t>项目所处康定市</w:t>
      </w:r>
      <w:r>
        <w:rPr>
          <w:rFonts w:hint="eastAsia"/>
          <w:color w:val="000000" w:themeColor="text1"/>
          <w:szCs w:val="24"/>
        </w:rPr>
        <w:t>境河流密集，纵横交织，水资源十分富集，是全州水电开发重点和热点区域，境内有大小河流溪涧140余条，流域面积从几平方公里到上千平方公里，500平方公里以上河流有5条，可开发34条，还有大小湖泊184个，湖泊总面积11.78平方公里，蓄水量2.5亿立方米，水能理论蕴藏量1800万千瓦，技术可开发利用达1080万千瓦</w:t>
      </w:r>
      <w:r>
        <w:rPr>
          <w:rFonts w:hint="eastAsia"/>
          <w:color w:val="000000" w:themeColor="text1"/>
        </w:rPr>
        <w:t>。</w:t>
      </w:r>
    </w:p>
    <w:p>
      <w:pPr>
        <w:widowControl w:val="0"/>
        <w:adjustRightInd/>
        <w:spacing w:before="120"/>
        <w:ind w:firstLine="480"/>
      </w:pPr>
      <w:r>
        <w:rPr>
          <w:rFonts w:hint="eastAsia"/>
          <w:color w:val="000000" w:themeColor="text1"/>
        </w:rPr>
        <w:t>本项目地处立启河水系，立启河源头茶垭沟发源于四川省甘孜藏族自治州康定市塔公镇西部，流经康定市新都桥、瓦泽乡、呷巴、甲根坝、朋布西、沙德，在康定市普沙绒乡境内注入雅砻江，全长206公里，流域面积约0.55万平方公里。力丘河瓦泽乡兰尼巴河河口以上段为上游，上游长95公里，兰尼巴河河口至沙德为中游，长63公里，沙德以下至河口为下游，长48公里</w:t>
      </w:r>
      <w:r>
        <w:t>。</w:t>
      </w:r>
    </w:p>
    <w:p>
      <w:pPr>
        <w:pStyle w:val="5"/>
        <w:numPr>
          <w:ilvl w:val="3"/>
          <w:numId w:val="0"/>
        </w:numPr>
        <w:spacing w:before="120"/>
      </w:pPr>
      <w:r>
        <w:rPr>
          <w:rFonts w:hint="eastAsia"/>
        </w:rPr>
        <w:t xml:space="preserve">1.2.1.5  </w:t>
      </w:r>
      <w:r>
        <w:t>土壤</w:t>
      </w:r>
    </w:p>
    <w:p>
      <w:pPr>
        <w:pStyle w:val="88"/>
        <w:rPr>
          <w:color w:val="000000" w:themeColor="text1"/>
        </w:rPr>
      </w:pPr>
      <w:r>
        <w:rPr>
          <w:color w:val="000000" w:themeColor="text1"/>
        </w:rPr>
        <w:t>康定市土壤随土质条件的变化，呈现出有规律的垂直分布，土壤类型以潮土、褐土、棕壤、暗棕壤、亚高山草甸土、高山寒漠土为主。该矿区土壤主要有：粘土、亚粘土两种。</w:t>
      </w:r>
    </w:p>
    <w:p>
      <w:pPr>
        <w:ind w:firstLine="480"/>
        <w:rPr>
          <w:lang w:val="zh-CN"/>
        </w:rPr>
      </w:pPr>
      <w:r>
        <w:rPr>
          <w:color w:val="000000" w:themeColor="text1"/>
          <w:kern w:val="0"/>
        </w:rPr>
        <w:t>根据地勘资料分析，本项目场地内土壤主要为</w:t>
      </w:r>
      <w:r>
        <w:rPr>
          <w:rFonts w:hint="eastAsia"/>
          <w:color w:val="000000" w:themeColor="text1"/>
        </w:rPr>
        <w:t>素填土，混板岩碎石及角砾，含量约30%，含大量植物根系，厚约1.5～10.0m</w:t>
      </w:r>
      <w:r>
        <w:rPr>
          <w:rFonts w:cs="Times New Roman"/>
        </w:rPr>
        <w:t>。</w:t>
      </w:r>
    </w:p>
    <w:p>
      <w:pPr>
        <w:pStyle w:val="5"/>
        <w:numPr>
          <w:ilvl w:val="3"/>
          <w:numId w:val="0"/>
        </w:numPr>
        <w:spacing w:before="120"/>
      </w:pPr>
      <w:r>
        <w:rPr>
          <w:rFonts w:hint="eastAsia"/>
        </w:rPr>
        <w:t xml:space="preserve">1.2.1.6  </w:t>
      </w:r>
      <w:r>
        <w:t>植被</w:t>
      </w:r>
    </w:p>
    <w:p>
      <w:pPr>
        <w:pStyle w:val="88"/>
        <w:rPr>
          <w:color w:val="000000" w:themeColor="text1"/>
        </w:rPr>
      </w:pPr>
      <w:bookmarkStart w:id="24" w:name="_Toc515873304"/>
      <w:r>
        <w:rPr>
          <w:color w:val="000000" w:themeColor="text1"/>
        </w:rPr>
        <w:t>康定市植被以自然植被为主，植被的分区有明显的带谱性。县境内地域辽阔，自然植被种类繁多，群落多样，垂直分布明显，既有亚热带植被，又有寒带植被。项目区森林植被主要为云杉、红杉组成的有林地，高山柳、山杨、绢毛蔷薇、10尖叶栒子等组成的灌木林，禾本科的燕麦草及其他莎草科、蔷薇科、豆科等草本 植物及少量蕨类植物。根据现场调查，距项目区约15km的姑咱镇设有林业种植 苗圃，其中育有云杉、高山柳、燕麦草、披碱草等树草种幼苗，均为项目区适生的本地树草种。项目区林草覆盖度约 56%。</w:t>
      </w:r>
    </w:p>
    <w:p>
      <w:pPr>
        <w:autoSpaceDE w:val="0"/>
        <w:autoSpaceDN w:val="0"/>
        <w:spacing w:before="120" w:line="336" w:lineRule="auto"/>
        <w:ind w:firstLine="480"/>
      </w:pPr>
      <w:r>
        <w:rPr>
          <w:color w:val="000000" w:themeColor="text1"/>
        </w:rPr>
        <w:t>项目建设区不涉及各级自然保护区、风景名胜区和森林公园，其内未发现属 于国家保护的珍稀野生动物、珍稀植物及名古木（母）树分布</w:t>
      </w:r>
      <w:r>
        <w:rPr>
          <w:rFonts w:hint="eastAsia"/>
        </w:rPr>
        <w:t>。</w:t>
      </w:r>
    </w:p>
    <w:p>
      <w:pPr>
        <w:pStyle w:val="5"/>
        <w:numPr>
          <w:ilvl w:val="3"/>
          <w:numId w:val="0"/>
        </w:numPr>
        <w:spacing w:before="120"/>
      </w:pPr>
      <w:r>
        <w:rPr>
          <w:rFonts w:hint="eastAsia"/>
        </w:rPr>
        <w:t xml:space="preserve">1.2.1.7  </w:t>
      </w:r>
      <w:r>
        <w:t>其他</w:t>
      </w:r>
    </w:p>
    <w:p>
      <w:pPr>
        <w:tabs>
          <w:tab w:val="left" w:pos="4260"/>
        </w:tabs>
        <w:spacing w:before="120"/>
        <w:ind w:firstLine="480"/>
      </w:pPr>
      <w:r>
        <w:rPr>
          <w:color w:val="000000" w:themeColor="text1"/>
        </w:rPr>
        <w:t>根据现场调查及资料查阅，本项目选址不涉及饮用水源保护区，不在水功能一级区的保护和保留区；沿线不涉及自然保护区、世界文化和自然遗产地、风景名胜区、地址公园、森林公园、重要湿地等</w:t>
      </w:r>
      <w:r>
        <w:t>。</w:t>
      </w:r>
    </w:p>
    <w:p>
      <w:pPr>
        <w:pStyle w:val="4"/>
        <w:numPr>
          <w:ilvl w:val="2"/>
          <w:numId w:val="0"/>
        </w:numPr>
        <w:spacing w:before="120"/>
      </w:pPr>
      <w:r>
        <w:rPr>
          <w:rFonts w:hint="eastAsia"/>
        </w:rPr>
        <w:t xml:space="preserve">1.2.2  </w:t>
      </w:r>
      <w:r>
        <w:t>水土流失及防治情况</w:t>
      </w:r>
      <w:bookmarkEnd w:id="24"/>
    </w:p>
    <w:p>
      <w:pPr>
        <w:pStyle w:val="5"/>
        <w:numPr>
          <w:ilvl w:val="3"/>
          <w:numId w:val="0"/>
        </w:numPr>
        <w:spacing w:before="120"/>
        <w:rPr>
          <w:rFonts w:hint="default" w:eastAsia="仿宋_GB2312"/>
          <w:lang w:val="en-US" w:eastAsia="zh-CN"/>
        </w:rPr>
      </w:pPr>
      <w:r>
        <w:rPr>
          <w:rFonts w:hint="eastAsia"/>
        </w:rPr>
        <w:t>1.2.2.1区域</w:t>
      </w:r>
      <w:r>
        <w:t>水土</w:t>
      </w:r>
      <w:r>
        <w:rPr>
          <w:rFonts w:hint="eastAsia"/>
          <w:lang w:val="en-US" w:eastAsia="zh-CN"/>
        </w:rPr>
        <w:t>流失现状</w:t>
      </w:r>
    </w:p>
    <w:p>
      <w:pPr>
        <w:ind w:firstLine="480"/>
        <w:rPr>
          <w:rFonts w:cs="Times New Roman"/>
        </w:rPr>
      </w:pPr>
      <w:r>
        <w:rPr>
          <w:rFonts w:cs="Times New Roman"/>
        </w:rPr>
        <w:t>根据《全国水土保持规划国家级水土流失重点预防区和重点治理区复核划分成果》（办水保[2013]188号）文</w:t>
      </w:r>
      <w:r>
        <w:rPr>
          <w:rFonts w:hint="eastAsia" w:cs="Times New Roman"/>
          <w:lang w:eastAsia="zh-CN"/>
        </w:rPr>
        <w:t>、</w:t>
      </w:r>
      <w:r>
        <w:rPr>
          <w:rFonts w:cs="Times New Roman"/>
          <w:szCs w:val="24"/>
        </w:rPr>
        <w:t>《四川省水利厅关于印发&lt;四川省省级水土流失重点预防区和重点治理区划分成果&gt;的通知》（川水函〔2017〕482号）</w:t>
      </w:r>
      <w:r>
        <w:rPr>
          <w:rFonts w:cs="Times New Roman"/>
        </w:rPr>
        <w:t>，工程涉及的</w:t>
      </w:r>
      <w:r>
        <w:rPr>
          <w:rFonts w:hint="eastAsia" w:cs="Times New Roman"/>
          <w:lang w:eastAsia="zh-CN"/>
        </w:rPr>
        <w:t>康定市</w:t>
      </w:r>
      <w:r>
        <w:rPr>
          <w:rFonts w:cs="Times New Roman"/>
        </w:rPr>
        <w:t>属于雅砻江、</w:t>
      </w:r>
      <w:r>
        <w:rPr>
          <w:rFonts w:hint="eastAsia" w:cs="Times New Roman"/>
        </w:rPr>
        <w:t>大渡河中下游游省级水土流失重点预防区</w:t>
      </w:r>
      <w:r>
        <w:rPr>
          <w:rFonts w:cs="Times New Roman"/>
        </w:rPr>
        <w:t>。</w:t>
      </w:r>
    </w:p>
    <w:p>
      <w:pPr>
        <w:spacing w:before="120"/>
        <w:ind w:firstLine="480"/>
      </w:pPr>
      <w:r>
        <w:rPr>
          <w:rFonts w:hint="eastAsia"/>
          <w:lang w:eastAsia="zh-CN"/>
        </w:rPr>
        <w:t>康定市新都桥镇和塔公乡</w:t>
      </w:r>
      <w:r>
        <w:rPr>
          <w:rFonts w:hint="eastAsia"/>
        </w:rPr>
        <w:t>境内地形复杂，地质结构断裂发育，土壤土层薄、砂质多，岩石风化强烈，抗蚀性弱，</w:t>
      </w:r>
      <w:r>
        <w:rPr>
          <w:rFonts w:hint="eastAsia"/>
          <w:lang w:val="en-US" w:eastAsia="zh-CN"/>
        </w:rPr>
        <w:t>根据</w:t>
      </w:r>
      <w:r>
        <w:rPr>
          <w:rFonts w:hint="eastAsia"/>
        </w:rPr>
        <w:t>201</w:t>
      </w:r>
      <w:r>
        <w:rPr>
          <w:rFonts w:hint="eastAsia"/>
          <w:lang w:val="en-US" w:eastAsia="zh-CN"/>
        </w:rPr>
        <w:t>9</w:t>
      </w:r>
      <w:r>
        <w:rPr>
          <w:rFonts w:hint="eastAsia"/>
        </w:rPr>
        <w:t>年</w:t>
      </w:r>
      <w:r>
        <w:rPr>
          <w:rFonts w:hint="eastAsia"/>
          <w:lang w:val="en-US" w:eastAsia="zh-CN"/>
        </w:rPr>
        <w:t>四川省水土流失动态监测数据可知</w:t>
      </w:r>
      <w:r>
        <w:rPr>
          <w:rFonts w:hint="eastAsia"/>
        </w:rPr>
        <w:t>，</w:t>
      </w:r>
      <w:r>
        <w:rPr>
          <w:rFonts w:hint="eastAsia"/>
          <w:lang w:val="en-US" w:eastAsia="zh-CN"/>
        </w:rPr>
        <w:t>康定市</w:t>
      </w:r>
      <w:r>
        <w:rPr>
          <w:rFonts w:hint="eastAsia"/>
        </w:rPr>
        <w:t>水土流失面积</w:t>
      </w:r>
      <w:r>
        <w:rPr>
          <w:rFonts w:hint="eastAsia"/>
          <w:lang w:val="en-US" w:eastAsia="zh-CN"/>
        </w:rPr>
        <w:t>2889.41</w:t>
      </w:r>
      <w:r>
        <w:rPr>
          <w:rFonts w:hint="eastAsia"/>
        </w:rPr>
        <w:t>km</w:t>
      </w:r>
      <w:r>
        <w:rPr>
          <w:rFonts w:hint="eastAsia"/>
          <w:vertAlign w:val="superscript"/>
        </w:rPr>
        <w:t>2</w:t>
      </w:r>
      <w:r>
        <w:rPr>
          <w:rFonts w:hint="eastAsia"/>
        </w:rPr>
        <w:t>，</w:t>
      </w:r>
      <w:r>
        <w:rPr>
          <w:rFonts w:hint="eastAsia"/>
          <w:lang w:val="en-US" w:eastAsia="zh-CN"/>
        </w:rPr>
        <w:t>均为水力侵蚀，其中轻度侵蚀2062.24</w:t>
      </w:r>
      <w:r>
        <w:rPr>
          <w:rFonts w:hint="eastAsia"/>
        </w:rPr>
        <w:t>km</w:t>
      </w:r>
      <w:r>
        <w:rPr>
          <w:rFonts w:hint="eastAsia"/>
          <w:vertAlign w:val="superscript"/>
        </w:rPr>
        <w:t>2</w:t>
      </w:r>
      <w:r>
        <w:rPr>
          <w:rFonts w:hint="eastAsia"/>
        </w:rPr>
        <w:t>，</w:t>
      </w:r>
      <w:r>
        <w:rPr>
          <w:rFonts w:hint="eastAsia"/>
          <w:lang w:val="en-US" w:eastAsia="zh-CN"/>
        </w:rPr>
        <w:t>中度侵蚀512.86</w:t>
      </w:r>
      <w:r>
        <w:rPr>
          <w:rFonts w:hint="eastAsia"/>
        </w:rPr>
        <w:t>km</w:t>
      </w:r>
      <w:r>
        <w:rPr>
          <w:rFonts w:hint="eastAsia"/>
          <w:vertAlign w:val="superscript"/>
        </w:rPr>
        <w:t>2</w:t>
      </w:r>
      <w:r>
        <w:rPr>
          <w:rFonts w:hint="eastAsia"/>
        </w:rPr>
        <w:t>，</w:t>
      </w:r>
      <w:r>
        <w:rPr>
          <w:rFonts w:hint="eastAsia"/>
          <w:lang w:val="en-US" w:eastAsia="zh-CN"/>
        </w:rPr>
        <w:t>强烈侵蚀240.03</w:t>
      </w:r>
      <w:r>
        <w:rPr>
          <w:rFonts w:hint="eastAsia"/>
        </w:rPr>
        <w:t>km</w:t>
      </w:r>
      <w:r>
        <w:rPr>
          <w:rFonts w:hint="eastAsia"/>
          <w:vertAlign w:val="superscript"/>
        </w:rPr>
        <w:t>2</w:t>
      </w:r>
      <w:r>
        <w:rPr>
          <w:rFonts w:hint="eastAsia"/>
        </w:rPr>
        <w:t>，</w:t>
      </w:r>
      <w:r>
        <w:rPr>
          <w:rFonts w:hint="eastAsia"/>
          <w:lang w:val="en-US" w:eastAsia="zh-CN"/>
        </w:rPr>
        <w:t>极强烈侵蚀68.23</w:t>
      </w:r>
      <w:r>
        <w:rPr>
          <w:rFonts w:hint="eastAsia"/>
        </w:rPr>
        <w:t>km</w:t>
      </w:r>
      <w:r>
        <w:rPr>
          <w:rFonts w:hint="eastAsia"/>
          <w:vertAlign w:val="superscript"/>
        </w:rPr>
        <w:t>2</w:t>
      </w:r>
      <w:r>
        <w:rPr>
          <w:rFonts w:hint="eastAsia"/>
        </w:rPr>
        <w:t>，</w:t>
      </w:r>
      <w:r>
        <w:rPr>
          <w:rFonts w:hint="eastAsia"/>
          <w:lang w:val="en-US" w:eastAsia="zh-CN"/>
        </w:rPr>
        <w:t>剧烈侵蚀6.05</w:t>
      </w:r>
      <w:r>
        <w:rPr>
          <w:rFonts w:hint="eastAsia"/>
        </w:rPr>
        <w:t>km</w:t>
      </w:r>
      <w:r>
        <w:rPr>
          <w:rFonts w:hint="eastAsia"/>
          <w:vertAlign w:val="superscript"/>
        </w:rPr>
        <w:t>2</w:t>
      </w:r>
      <w:r>
        <w:rPr>
          <w:rFonts w:hint="eastAsia"/>
        </w:rPr>
        <w:t xml:space="preserve">。1.2.2.2  </w:t>
      </w:r>
      <w:r>
        <w:t>工程区水土流失现状</w:t>
      </w:r>
    </w:p>
    <w:p>
      <w:pPr>
        <w:spacing w:before="120"/>
        <w:ind w:firstLine="480"/>
      </w:pPr>
      <w:r>
        <w:t>根据全国水土保持规划国家级水土流失重点预防区和重点治理区复核划分成果（办水保[2013]188号文）和</w:t>
      </w:r>
      <w:r>
        <w:rPr>
          <w:szCs w:val="28"/>
        </w:rPr>
        <w:t>《四川省省级水土流失重点预防区和重点治理区划分成果》（川水函[2017]482号）</w:t>
      </w:r>
      <w:r>
        <w:t>，本工程位于</w:t>
      </w:r>
      <w:r>
        <w:rPr>
          <w:rFonts w:cs="Times New Roman"/>
        </w:rPr>
        <w:t>雅砻江、</w:t>
      </w:r>
      <w:r>
        <w:rPr>
          <w:rFonts w:hint="eastAsia" w:cs="Times New Roman"/>
        </w:rPr>
        <w:t>大渡河中下游游省级水土流失重点预防区</w:t>
      </w:r>
      <w:r>
        <w:t>，区域内土壤容许流失量为500t/km</w:t>
      </w:r>
      <w:r>
        <w:rPr>
          <w:vertAlign w:val="superscript"/>
        </w:rPr>
        <w:t>2</w:t>
      </w:r>
      <w:r>
        <w:t>·a。</w:t>
      </w:r>
    </w:p>
    <w:p>
      <w:pPr>
        <w:spacing w:before="120"/>
        <w:ind w:firstLine="480"/>
      </w:pPr>
      <w:r>
        <w:rPr>
          <w:rFonts w:hint="eastAsia"/>
          <w:color w:val="000000" w:themeColor="text1"/>
        </w:rPr>
        <w:t>根据</w:t>
      </w:r>
      <w:r>
        <w:rPr>
          <w:rFonts w:hint="eastAsia"/>
          <w:color w:val="000000" w:themeColor="text1"/>
          <w:lang w:val="en-US" w:eastAsia="zh-CN"/>
        </w:rPr>
        <w:t>批复的水土保持方案报告表及</w:t>
      </w:r>
      <w:r>
        <w:rPr>
          <w:rFonts w:hint="eastAsia"/>
          <w:color w:val="000000" w:themeColor="text1"/>
        </w:rPr>
        <w:t>项目调查情况了解，项目原地貌为公共管理与公共服务用地</w:t>
      </w:r>
      <w:r>
        <w:rPr>
          <w:rFonts w:hint="eastAsia"/>
          <w:color w:val="000000" w:themeColor="text1"/>
          <w:lang w:eastAsia="zh-CN"/>
        </w:rPr>
        <w:t>，</w:t>
      </w:r>
      <w:r>
        <w:rPr>
          <w:color w:val="000000" w:themeColor="text1"/>
        </w:rPr>
        <w:t>工程区平均土壤侵蚀模数背景值为</w:t>
      </w:r>
      <w:r>
        <w:rPr>
          <w:rFonts w:hint="eastAsia"/>
          <w:color w:val="000000" w:themeColor="text1"/>
        </w:rPr>
        <w:t>300</w:t>
      </w:r>
      <w:r>
        <w:rPr>
          <w:color w:val="000000" w:themeColor="text1"/>
        </w:rPr>
        <w:t>t/km².a，</w:t>
      </w:r>
      <w:r>
        <w:rPr>
          <w:rFonts w:hint="eastAsia"/>
          <w:color w:val="000000" w:themeColor="text1"/>
        </w:rPr>
        <w:t>侵蚀强度为微度</w:t>
      </w:r>
      <w:r>
        <w:t>，工程占地范围内年均土壤侵蚀量约</w:t>
      </w:r>
      <w:r>
        <w:rPr>
          <w:rFonts w:hint="eastAsia"/>
          <w:lang w:val="en-US" w:eastAsia="zh-CN"/>
        </w:rPr>
        <w:t>0.75</w:t>
      </w:r>
      <w:r>
        <w:t>t。</w:t>
      </w:r>
    </w:p>
    <w:p>
      <w:pPr>
        <w:spacing w:before="120"/>
        <w:ind w:firstLine="480"/>
        <w:jc w:val="left"/>
        <w:sectPr>
          <w:headerReference r:id="rId21" w:type="default"/>
          <w:footerReference r:id="rId22" w:type="default"/>
          <w:pgSz w:w="11906" w:h="16838"/>
          <w:pgMar w:top="1440" w:right="1800" w:bottom="1440" w:left="1800" w:header="708" w:footer="708" w:gutter="0"/>
          <w:pgBorders>
            <w:top w:val="none" w:sz="0" w:space="0"/>
            <w:left w:val="none" w:sz="0" w:space="0"/>
            <w:bottom w:val="none" w:sz="0" w:space="0"/>
            <w:right w:val="none" w:sz="0" w:space="0"/>
          </w:pgBorders>
          <w:pgNumType w:fmt="numberInDash"/>
          <w:cols w:space="708" w:num="1"/>
          <w:docGrid w:linePitch="381" w:charSpace="0"/>
        </w:sectPr>
      </w:pPr>
    </w:p>
    <w:p>
      <w:pPr>
        <w:pStyle w:val="3"/>
      </w:pPr>
      <w:bookmarkStart w:id="25" w:name="_Toc11207"/>
      <w:bookmarkStart w:id="26" w:name="_Toc515873305"/>
      <w:r>
        <w:t>水土保持方案和设计情况</w:t>
      </w:r>
      <w:bookmarkEnd w:id="25"/>
      <w:bookmarkEnd w:id="26"/>
    </w:p>
    <w:p>
      <w:pPr>
        <w:pStyle w:val="2"/>
        <w:spacing w:before="120" w:after="120"/>
        <w:ind w:firstLine="0" w:firstLineChars="0"/>
        <w:rPr>
          <w:b/>
          <w:bCs/>
        </w:rPr>
      </w:pPr>
      <w:bookmarkStart w:id="27" w:name="_Toc515873306"/>
      <w:bookmarkStart w:id="28" w:name="_Toc23468"/>
      <w:r>
        <w:rPr>
          <w:rFonts w:hint="eastAsia"/>
          <w:b/>
          <w:bCs/>
        </w:rPr>
        <w:t>2.1  主体工程设计</w:t>
      </w:r>
      <w:bookmarkEnd w:id="27"/>
      <w:bookmarkEnd w:id="28"/>
    </w:p>
    <w:p>
      <w:pPr>
        <w:spacing w:before="120"/>
        <w:ind w:firstLine="480"/>
        <w:rPr>
          <w:kern w:val="0"/>
        </w:rPr>
      </w:pPr>
      <w:r>
        <w:rPr>
          <w:kern w:val="0"/>
        </w:rPr>
        <w:t>2019年</w:t>
      </w:r>
      <w:r>
        <w:rPr>
          <w:rFonts w:hint="eastAsia"/>
          <w:kern w:val="0"/>
          <w:lang w:val="en-US" w:eastAsia="zh-CN"/>
        </w:rPr>
        <w:t>6</w:t>
      </w:r>
      <w:r>
        <w:rPr>
          <w:kern w:val="0"/>
        </w:rPr>
        <w:t>月</w:t>
      </w:r>
      <w:r>
        <w:rPr>
          <w:rFonts w:hint="eastAsia"/>
          <w:kern w:val="0"/>
          <w:lang w:val="en-US" w:eastAsia="zh-CN"/>
        </w:rPr>
        <w:t>13</w:t>
      </w:r>
      <w:r>
        <w:rPr>
          <w:rFonts w:hint="eastAsia"/>
          <w:kern w:val="0"/>
        </w:rPr>
        <w:t>日</w:t>
      </w:r>
      <w:r>
        <w:rPr>
          <w:kern w:val="0"/>
        </w:rPr>
        <w:t>，</w:t>
      </w:r>
      <w:r>
        <w:rPr>
          <w:rFonts w:hint="eastAsia"/>
          <w:kern w:val="0"/>
          <w:lang w:val="en-US" w:eastAsia="zh-CN"/>
        </w:rPr>
        <w:t>国网四川省电力公司甘孜供电公司</w:t>
      </w:r>
      <w:r>
        <w:rPr>
          <w:kern w:val="0"/>
        </w:rPr>
        <w:t>以《关于</w:t>
      </w:r>
      <w:r>
        <w:rPr>
          <w:rFonts w:hint="eastAsia"/>
          <w:kern w:val="0"/>
          <w:lang w:val="en-US" w:eastAsia="zh-CN"/>
        </w:rPr>
        <w:t>甘孜康定新都桥220kV临时变35kV配套工程可行性研究报告的批复</w:t>
      </w:r>
      <w:r>
        <w:rPr>
          <w:kern w:val="0"/>
        </w:rPr>
        <w:t>》（甘</w:t>
      </w:r>
      <w:r>
        <w:rPr>
          <w:rFonts w:hint="eastAsia"/>
          <w:kern w:val="0"/>
          <w:lang w:val="en-US" w:eastAsia="zh-CN"/>
        </w:rPr>
        <w:t>电发展</w:t>
      </w:r>
      <w:r>
        <w:rPr>
          <w:kern w:val="0"/>
        </w:rPr>
        <w:t>[2019]</w:t>
      </w:r>
      <w:r>
        <w:rPr>
          <w:rFonts w:hint="eastAsia"/>
          <w:kern w:val="0"/>
          <w:lang w:val="en-US" w:eastAsia="zh-CN"/>
        </w:rPr>
        <w:t>37</w:t>
      </w:r>
      <w:r>
        <w:rPr>
          <w:kern w:val="0"/>
        </w:rPr>
        <w:t>号）对项目</w:t>
      </w:r>
      <w:r>
        <w:rPr>
          <w:rFonts w:hint="eastAsia"/>
          <w:kern w:val="0"/>
          <w:lang w:val="en-US" w:eastAsia="zh-CN"/>
        </w:rPr>
        <w:t>可研报告</w:t>
      </w:r>
      <w:r>
        <w:rPr>
          <w:kern w:val="0"/>
        </w:rPr>
        <w:t>进行了</w:t>
      </w:r>
      <w:r>
        <w:rPr>
          <w:rFonts w:hint="eastAsia"/>
          <w:kern w:val="0"/>
          <w:lang w:val="en-US" w:eastAsia="zh-CN"/>
        </w:rPr>
        <w:t>批复</w:t>
      </w:r>
      <w:r>
        <w:rPr>
          <w:kern w:val="0"/>
        </w:rPr>
        <w:t>。</w:t>
      </w:r>
    </w:p>
    <w:p>
      <w:pPr>
        <w:spacing w:before="120"/>
        <w:ind w:firstLine="480"/>
        <w:rPr>
          <w:kern w:val="0"/>
        </w:rPr>
      </w:pPr>
      <w:r>
        <w:rPr>
          <w:kern w:val="0"/>
        </w:rPr>
        <w:t>2019年</w:t>
      </w:r>
      <w:r>
        <w:rPr>
          <w:rFonts w:hint="eastAsia"/>
          <w:kern w:val="0"/>
          <w:lang w:val="en-US" w:eastAsia="zh-CN"/>
        </w:rPr>
        <w:t>8</w:t>
      </w:r>
      <w:r>
        <w:rPr>
          <w:kern w:val="0"/>
        </w:rPr>
        <w:t>月，</w:t>
      </w:r>
      <w:r>
        <w:rPr>
          <w:rFonts w:hint="eastAsia"/>
          <w:kern w:val="0"/>
          <w:lang w:eastAsia="zh-CN"/>
        </w:rPr>
        <w:t>成都城电电力工程设计有限公司</w:t>
      </w:r>
      <w:r>
        <w:rPr>
          <w:kern w:val="0"/>
        </w:rPr>
        <w:t>完成《</w:t>
      </w:r>
      <w:r>
        <w:rPr>
          <w:rFonts w:hint="eastAsia"/>
          <w:kern w:val="0"/>
          <w:lang w:eastAsia="zh-CN"/>
        </w:rPr>
        <w:t>甘孜康定新都桥220kV临时变35kV配套工程</w:t>
      </w:r>
      <w:r>
        <w:rPr>
          <w:kern w:val="0"/>
        </w:rPr>
        <w:t>初步设计报告》。</w:t>
      </w:r>
    </w:p>
    <w:p>
      <w:pPr>
        <w:pStyle w:val="2"/>
        <w:spacing w:before="120" w:after="120"/>
        <w:ind w:firstLine="0" w:firstLineChars="0"/>
        <w:rPr>
          <w:b/>
          <w:bCs/>
        </w:rPr>
      </w:pPr>
      <w:bookmarkStart w:id="29" w:name="_Toc515873307"/>
      <w:bookmarkStart w:id="30" w:name="_Toc23663"/>
      <w:r>
        <w:rPr>
          <w:rFonts w:hint="eastAsia"/>
          <w:b/>
          <w:bCs/>
        </w:rPr>
        <w:t xml:space="preserve">2.2  </w:t>
      </w:r>
      <w:r>
        <w:rPr>
          <w:b/>
          <w:bCs/>
        </w:rPr>
        <w:t>水土保持方案</w:t>
      </w:r>
      <w:bookmarkEnd w:id="29"/>
      <w:r>
        <w:rPr>
          <w:b/>
          <w:bCs/>
        </w:rPr>
        <w:t>报告表</w:t>
      </w:r>
      <w:bookmarkEnd w:id="30"/>
    </w:p>
    <w:p>
      <w:pPr>
        <w:spacing w:before="120"/>
        <w:ind w:firstLine="480"/>
      </w:pPr>
      <w:r>
        <w:rPr>
          <w:bCs/>
        </w:rPr>
        <w:t>201</w:t>
      </w:r>
      <w:r>
        <w:rPr>
          <w:rFonts w:hint="eastAsia"/>
          <w:bCs/>
          <w:lang w:val="en-US" w:eastAsia="zh-CN"/>
        </w:rPr>
        <w:t>9</w:t>
      </w:r>
      <w:r>
        <w:rPr>
          <w:bCs/>
        </w:rPr>
        <w:t>年</w:t>
      </w:r>
      <w:r>
        <w:rPr>
          <w:rFonts w:hint="eastAsia"/>
          <w:bCs/>
          <w:lang w:val="en-US" w:eastAsia="zh-CN"/>
        </w:rPr>
        <w:t>12</w:t>
      </w:r>
      <w:r>
        <w:rPr>
          <w:bCs/>
        </w:rPr>
        <w:t>月</w:t>
      </w:r>
      <w:r>
        <w:t>，国网四川省电力公司</w:t>
      </w:r>
      <w:r>
        <w:rPr>
          <w:rFonts w:hint="eastAsia"/>
        </w:rPr>
        <w:t>甘孜供电公司</w:t>
      </w:r>
      <w:r>
        <w:t>委托</w:t>
      </w:r>
      <w:r>
        <w:rPr>
          <w:rFonts w:hint="eastAsia"/>
          <w:lang w:eastAsia="zh-CN"/>
        </w:rPr>
        <w:t>浙江中水工程技术有限公司</w:t>
      </w:r>
      <w:r>
        <w:t>编制本项目的水土保持方案报告</w:t>
      </w:r>
      <w:r>
        <w:rPr>
          <w:rFonts w:hint="eastAsia"/>
        </w:rPr>
        <w:t>表</w:t>
      </w:r>
      <w:r>
        <w:t>，</w:t>
      </w:r>
      <w:r>
        <w:rPr>
          <w:rFonts w:hint="eastAsia"/>
          <w:lang w:eastAsia="zh-CN"/>
        </w:rPr>
        <w:t>浙江中水工程技术有限公司</w:t>
      </w:r>
      <w:r>
        <w:t>于20</w:t>
      </w:r>
      <w:r>
        <w:rPr>
          <w:rFonts w:hint="eastAsia"/>
          <w:lang w:val="en-US" w:eastAsia="zh-CN"/>
        </w:rPr>
        <w:t>20</w:t>
      </w:r>
      <w:r>
        <w:t>年</w:t>
      </w:r>
      <w:r>
        <w:rPr>
          <w:rFonts w:hint="eastAsia"/>
          <w:lang w:val="en-US" w:eastAsia="zh-CN"/>
        </w:rPr>
        <w:t>1</w:t>
      </w:r>
      <w:r>
        <w:t>月编制完成《</w:t>
      </w:r>
      <w:r>
        <w:rPr>
          <w:rFonts w:hint="eastAsia"/>
          <w:lang w:eastAsia="zh-CN"/>
        </w:rPr>
        <w:t>甘孜康定新都桥220kV临时变35kV配套工程</w:t>
      </w:r>
      <w:r>
        <w:t>水土保持方案报告表》。</w:t>
      </w:r>
      <w:r>
        <w:rPr>
          <w:color w:val="000000" w:themeColor="text1"/>
        </w:rPr>
        <w:t>20</w:t>
      </w:r>
      <w:r>
        <w:rPr>
          <w:rFonts w:hint="eastAsia"/>
          <w:color w:val="000000" w:themeColor="text1"/>
          <w:lang w:val="en-US" w:eastAsia="zh-CN"/>
        </w:rPr>
        <w:t>20</w:t>
      </w:r>
      <w:r>
        <w:rPr>
          <w:color w:val="000000" w:themeColor="text1"/>
        </w:rPr>
        <w:t>年</w:t>
      </w:r>
      <w:r>
        <w:rPr>
          <w:rFonts w:hint="eastAsia"/>
          <w:color w:val="000000" w:themeColor="text1"/>
          <w:lang w:val="en-US" w:eastAsia="zh-CN"/>
        </w:rPr>
        <w:t>5</w:t>
      </w:r>
      <w:r>
        <w:rPr>
          <w:color w:val="000000" w:themeColor="text1"/>
        </w:rPr>
        <w:t>月，</w:t>
      </w:r>
      <w:r>
        <w:rPr>
          <w:rFonts w:hint="eastAsia"/>
          <w:color w:val="000000" w:themeColor="text1"/>
          <w:lang w:val="en-US" w:eastAsia="zh-CN"/>
        </w:rPr>
        <w:t>康定市</w:t>
      </w:r>
      <w:r>
        <w:rPr>
          <w:color w:val="000000" w:themeColor="text1"/>
        </w:rPr>
        <w:t>水利局以《</w:t>
      </w:r>
      <w:r>
        <w:rPr>
          <w:rFonts w:hint="eastAsia"/>
          <w:color w:val="000000" w:themeColor="text1"/>
          <w:lang w:val="en-US" w:eastAsia="zh-CN"/>
        </w:rPr>
        <w:t>康定市生产建设项目</w:t>
      </w:r>
      <w:r>
        <w:rPr>
          <w:color w:val="000000" w:themeColor="text1"/>
        </w:rPr>
        <w:t>水土保持方案报告表</w:t>
      </w:r>
      <w:r>
        <w:rPr>
          <w:rFonts w:hint="eastAsia"/>
          <w:color w:val="000000" w:themeColor="text1"/>
          <w:lang w:val="en-US" w:eastAsia="zh-CN"/>
        </w:rPr>
        <w:t>行政许可决定书</w:t>
      </w:r>
      <w:r>
        <w:rPr>
          <w:color w:val="000000" w:themeColor="text1"/>
        </w:rPr>
        <w:t>》（</w:t>
      </w:r>
      <w:r>
        <w:rPr>
          <w:rFonts w:hint="eastAsia"/>
          <w:color w:val="000000" w:themeColor="text1"/>
          <w:lang w:val="en-US" w:eastAsia="zh-CN"/>
        </w:rPr>
        <w:t>康水利</w:t>
      </w:r>
      <w:r>
        <w:rPr>
          <w:color w:val="000000" w:themeColor="text1"/>
        </w:rPr>
        <w:t>[20</w:t>
      </w:r>
      <w:r>
        <w:rPr>
          <w:rFonts w:hint="eastAsia"/>
          <w:color w:val="000000" w:themeColor="text1"/>
          <w:lang w:val="en-US" w:eastAsia="zh-CN"/>
        </w:rPr>
        <w:t>20</w:t>
      </w:r>
      <w:r>
        <w:rPr>
          <w:color w:val="000000" w:themeColor="text1"/>
        </w:rPr>
        <w:t>]</w:t>
      </w:r>
      <w:r>
        <w:rPr>
          <w:rFonts w:hint="eastAsia"/>
          <w:color w:val="000000" w:themeColor="text1"/>
          <w:lang w:val="en-US" w:eastAsia="zh-CN"/>
        </w:rPr>
        <w:t>102</w:t>
      </w:r>
      <w:r>
        <w:rPr>
          <w:color w:val="000000" w:themeColor="text1"/>
        </w:rPr>
        <w:t>号）对该项目水土保持方案报告表</w:t>
      </w:r>
      <w:r>
        <w:rPr>
          <w:rFonts w:hint="eastAsia"/>
          <w:color w:val="000000" w:themeColor="text1"/>
          <w:lang w:val="en-US" w:eastAsia="zh-CN"/>
        </w:rPr>
        <w:t>准予行政许可</w:t>
      </w:r>
      <w:r>
        <w:t>。</w:t>
      </w:r>
    </w:p>
    <w:p>
      <w:pPr>
        <w:pStyle w:val="2"/>
        <w:spacing w:before="120" w:after="120"/>
        <w:ind w:firstLine="0" w:firstLineChars="0"/>
        <w:rPr>
          <w:b/>
          <w:bCs/>
        </w:rPr>
      </w:pPr>
      <w:bookmarkStart w:id="31" w:name="_Toc515873308"/>
      <w:bookmarkStart w:id="32" w:name="_Toc7489"/>
      <w:r>
        <w:rPr>
          <w:rFonts w:hint="eastAsia"/>
          <w:b/>
          <w:bCs/>
        </w:rPr>
        <w:t xml:space="preserve">2.3  </w:t>
      </w:r>
      <w:r>
        <w:rPr>
          <w:b/>
          <w:bCs/>
        </w:rPr>
        <w:t>水土保持方案变更</w:t>
      </w:r>
      <w:bookmarkEnd w:id="31"/>
      <w:bookmarkEnd w:id="32"/>
    </w:p>
    <w:p>
      <w:pPr>
        <w:spacing w:before="120"/>
        <w:ind w:firstLine="480"/>
      </w:pPr>
      <w:r>
        <w:t>本项目水土保持方案报告表为</w:t>
      </w:r>
      <w:r>
        <w:rPr>
          <w:rFonts w:hint="eastAsia"/>
          <w:lang w:val="en-US" w:eastAsia="zh-CN"/>
        </w:rPr>
        <w:t>初步</w:t>
      </w:r>
      <w:r>
        <w:t>设计深度，在项目实际建设过程中基本与</w:t>
      </w:r>
      <w:r>
        <w:rPr>
          <w:rFonts w:hint="eastAsia"/>
        </w:rPr>
        <w:t>方案</w:t>
      </w:r>
      <w:r>
        <w:t>设计相同，经现场调查核实，本工程主体工程及水土保持措施与原方案设计相比较，主体设计及水土流失防治措施布局与水保方案报告表基本一致，不存在重大变更。</w:t>
      </w:r>
    </w:p>
    <w:p>
      <w:pPr>
        <w:spacing w:before="120"/>
        <w:ind w:firstLine="480"/>
      </w:pPr>
    </w:p>
    <w:p>
      <w:pPr>
        <w:spacing w:before="120"/>
        <w:ind w:firstLine="480"/>
        <w:jc w:val="left"/>
        <w:sectPr>
          <w:headerReference r:id="rId23" w:type="default"/>
          <w:pgSz w:w="11906" w:h="16838"/>
          <w:pgMar w:top="1440" w:right="1800" w:bottom="1440" w:left="1800" w:header="708" w:footer="708" w:gutter="0"/>
          <w:pgBorders>
            <w:top w:val="none" w:sz="0" w:space="0"/>
            <w:left w:val="none" w:sz="0" w:space="0"/>
            <w:bottom w:val="none" w:sz="0" w:space="0"/>
            <w:right w:val="none" w:sz="0" w:space="0"/>
          </w:pgBorders>
          <w:pgNumType w:fmt="numberInDash"/>
          <w:cols w:space="708" w:num="1"/>
          <w:docGrid w:linePitch="381" w:charSpace="0"/>
        </w:sectPr>
      </w:pPr>
    </w:p>
    <w:p>
      <w:pPr>
        <w:pStyle w:val="3"/>
      </w:pPr>
      <w:bookmarkStart w:id="33" w:name="_Toc515873312"/>
      <w:bookmarkStart w:id="34" w:name="_Toc29743"/>
      <w:r>
        <w:t>水土保持方案实施情况</w:t>
      </w:r>
      <w:bookmarkEnd w:id="33"/>
      <w:bookmarkEnd w:id="34"/>
    </w:p>
    <w:p>
      <w:pPr>
        <w:pStyle w:val="2"/>
        <w:spacing w:before="120" w:after="120"/>
        <w:ind w:firstLine="0" w:firstLineChars="0"/>
        <w:rPr>
          <w:b/>
          <w:bCs/>
        </w:rPr>
      </w:pPr>
      <w:bookmarkStart w:id="35" w:name="_Toc515873313"/>
      <w:bookmarkStart w:id="36" w:name="_Toc15140"/>
      <w:r>
        <w:rPr>
          <w:rFonts w:hint="eastAsia"/>
          <w:b/>
          <w:bCs/>
        </w:rPr>
        <w:t xml:space="preserve">3.1  </w:t>
      </w:r>
      <w:r>
        <w:rPr>
          <w:b/>
          <w:bCs/>
        </w:rPr>
        <w:t>水土流失防治责任范围</w:t>
      </w:r>
      <w:bookmarkEnd w:id="35"/>
      <w:bookmarkEnd w:id="36"/>
    </w:p>
    <w:p>
      <w:pPr>
        <w:pStyle w:val="4"/>
        <w:spacing w:before="120"/>
      </w:pPr>
      <w:bookmarkStart w:id="37" w:name="_Toc496268036"/>
      <w:bookmarkStart w:id="38" w:name="_Toc5306"/>
      <w:bookmarkStart w:id="39" w:name="_Toc4560"/>
      <w:bookmarkStart w:id="40" w:name="_Toc484280777"/>
      <w:bookmarkStart w:id="41" w:name="_Toc489976992"/>
      <w:bookmarkStart w:id="42" w:name="_Toc18858"/>
      <w:bookmarkStart w:id="43" w:name="_Toc515873314"/>
      <w:r>
        <w:t>方案确定的水土流失防治责任范围</w:t>
      </w:r>
      <w:bookmarkEnd w:id="37"/>
      <w:bookmarkEnd w:id="38"/>
      <w:bookmarkEnd w:id="39"/>
      <w:bookmarkEnd w:id="40"/>
      <w:bookmarkEnd w:id="41"/>
      <w:bookmarkEnd w:id="42"/>
      <w:bookmarkEnd w:id="43"/>
    </w:p>
    <w:p>
      <w:pPr>
        <w:spacing w:before="120"/>
        <w:ind w:firstLine="480"/>
      </w:pPr>
      <w:r>
        <w:t>按照《</w:t>
      </w:r>
      <w:r>
        <w:rPr>
          <w:rFonts w:hint="eastAsia"/>
        </w:rPr>
        <w:t>生产</w:t>
      </w:r>
      <w:r>
        <w:t>建设项目水土保持</w:t>
      </w:r>
      <w:r>
        <w:rPr>
          <w:rFonts w:hint="eastAsia"/>
        </w:rPr>
        <w:t>技术</w:t>
      </w:r>
      <w:r>
        <w:t>标准》(GB 50433-20</w:t>
      </w:r>
      <w:r>
        <w:rPr>
          <w:rFonts w:hint="eastAsia"/>
        </w:rPr>
        <w:t>1</w:t>
      </w:r>
      <w:r>
        <w:t>8)的有关规定，水土流失防治的总体要求是：预防和防治责任范围的水土流失，并尽可能使现有水土流失得到有效控制；美化和绿化工程区环境，维持区域生态环境良性循环。通过</w:t>
      </w:r>
      <w:r>
        <w:rPr>
          <w:rFonts w:hint="eastAsia"/>
        </w:rPr>
        <w:t>分时段</w:t>
      </w:r>
      <w:r>
        <w:t>分区实施各项水土保持措施，促进工程建设及运行安全。</w:t>
      </w:r>
    </w:p>
    <w:p>
      <w:pPr>
        <w:spacing w:before="120"/>
        <w:ind w:firstLine="480"/>
      </w:pPr>
      <w:r>
        <w:t>根据本工程的水土保持方案报告表以及</w:t>
      </w:r>
      <w:r>
        <w:rPr>
          <w:rFonts w:hint="eastAsia"/>
          <w:lang w:val="en-US" w:eastAsia="zh-CN"/>
        </w:rPr>
        <w:t>康定市</w:t>
      </w:r>
      <w:r>
        <w:t>水利局的</w:t>
      </w:r>
      <w:r>
        <w:rPr>
          <w:rFonts w:hint="eastAsia"/>
          <w:lang w:val="en-US" w:eastAsia="zh-CN"/>
        </w:rPr>
        <w:t>行政许可</w:t>
      </w:r>
      <w:r>
        <w:t>，本工程水土保持防治范围总面积为</w:t>
      </w:r>
      <w:r>
        <w:rPr>
          <w:rFonts w:hint="eastAsia"/>
          <w:lang w:val="en-US" w:eastAsia="zh-CN"/>
        </w:rPr>
        <w:t>0.25</w:t>
      </w:r>
      <w:r>
        <w:t>hm</w:t>
      </w:r>
      <w:r>
        <w:rPr>
          <w:vertAlign w:val="superscript"/>
        </w:rPr>
        <w:t>2</w:t>
      </w:r>
      <w:r>
        <w:t>，</w:t>
      </w:r>
      <w:r>
        <w:rPr>
          <w:rFonts w:cs="Times New Roman"/>
        </w:rPr>
        <w:t>其中永久占地</w:t>
      </w:r>
      <w:r>
        <w:rPr>
          <w:rFonts w:hint="eastAsia" w:cs="Times New Roman"/>
          <w:lang w:val="en-US" w:eastAsia="zh-CN"/>
        </w:rPr>
        <w:t>0.20</w:t>
      </w:r>
      <w:r>
        <w:rPr>
          <w:rFonts w:cs="Times New Roman"/>
        </w:rPr>
        <w:t>hm</w:t>
      </w:r>
      <w:r>
        <w:rPr>
          <w:rFonts w:cs="Times New Roman"/>
          <w:vertAlign w:val="superscript"/>
        </w:rPr>
        <w:t>2</w:t>
      </w:r>
      <w:r>
        <w:rPr>
          <w:rFonts w:cs="Times New Roman"/>
        </w:rPr>
        <w:t>，临时占地</w:t>
      </w:r>
      <w:r>
        <w:rPr>
          <w:rFonts w:hint="eastAsia" w:cs="Times New Roman"/>
          <w:lang w:val="en-US" w:eastAsia="zh-CN"/>
        </w:rPr>
        <w:t>0.05</w:t>
      </w:r>
      <w:r>
        <w:rPr>
          <w:rFonts w:cs="Times New Roman"/>
        </w:rPr>
        <w:t>hm</w:t>
      </w:r>
      <w:r>
        <w:rPr>
          <w:rFonts w:cs="Times New Roman"/>
          <w:vertAlign w:val="superscript"/>
        </w:rPr>
        <w:t>2</w:t>
      </w:r>
      <w:r>
        <w:t>。水保方案确定水土流失防治责任范围见表3.1-1。</w:t>
      </w:r>
    </w:p>
    <w:p>
      <w:pPr>
        <w:pStyle w:val="58"/>
        <w:spacing w:before="120"/>
        <w:rPr>
          <w:color w:val="auto"/>
          <w:vertAlign w:val="superscript"/>
        </w:rPr>
      </w:pPr>
      <w:r>
        <w:rPr>
          <w:color w:val="auto"/>
        </w:rPr>
        <w:t xml:space="preserve">水保方案确定水土流失防治责任范围 </w:t>
      </w:r>
    </w:p>
    <w:p>
      <w:pPr>
        <w:pStyle w:val="13"/>
        <w:keepNext/>
      </w:pPr>
      <w:r>
        <w:t xml:space="preserve">表 </w:t>
      </w:r>
      <w:r>
        <w:rPr>
          <w:rFonts w:hint="eastAsia"/>
        </w:rPr>
        <w:t>3.1</w:t>
      </w:r>
      <w:r>
        <w:noBreakHyphen/>
      </w:r>
      <w:r>
        <w:fldChar w:fldCharType="begin"/>
      </w:r>
      <w:r>
        <w:instrText xml:space="preserve"> SEQ 表 \* ARABIC \s 2 </w:instrText>
      </w:r>
      <w:r>
        <w:fldChar w:fldCharType="separate"/>
      </w:r>
      <w:r>
        <w:t>1</w:t>
      </w:r>
      <w:r>
        <w:fldChar w:fldCharType="end"/>
      </w:r>
    </w:p>
    <w:tbl>
      <w:tblPr>
        <w:tblStyle w:val="32"/>
        <w:tblW w:w="8336" w:type="dxa"/>
        <w:jc w:val="center"/>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15" w:type="dxa"/>
          <w:left w:w="15" w:type="dxa"/>
          <w:bottom w:w="15" w:type="dxa"/>
          <w:right w:w="15" w:type="dxa"/>
        </w:tblCellMar>
      </w:tblPr>
      <w:tblGrid>
        <w:gridCol w:w="909"/>
        <w:gridCol w:w="2693"/>
        <w:gridCol w:w="2694"/>
        <w:gridCol w:w="2040"/>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909"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序号</w:t>
            </w:r>
          </w:p>
        </w:tc>
        <w:tc>
          <w:tcPr>
            <w:tcW w:w="2693"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防治分区</w:t>
            </w:r>
          </w:p>
        </w:tc>
        <w:tc>
          <w:tcPr>
            <w:tcW w:w="2694"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防治责任</w:t>
            </w:r>
            <w:r>
              <w:rPr>
                <w:color w:val="000000" w:themeColor="text1"/>
              </w:rPr>
              <w:t>面积（hm²）</w:t>
            </w:r>
          </w:p>
        </w:tc>
        <w:tc>
          <w:tcPr>
            <w:tcW w:w="2040"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备注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909"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1</w:t>
            </w:r>
          </w:p>
        </w:tc>
        <w:tc>
          <w:tcPr>
            <w:tcW w:w="2693"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变电站及</w:t>
            </w:r>
            <w:r>
              <w:rPr>
                <w:color w:val="000000" w:themeColor="text1"/>
                <w:kern w:val="0"/>
              </w:rPr>
              <w:t>进站道路</w:t>
            </w:r>
            <w:r>
              <w:rPr>
                <w:color w:val="000000" w:themeColor="text1"/>
              </w:rPr>
              <w:t>用地区</w:t>
            </w:r>
          </w:p>
        </w:tc>
        <w:tc>
          <w:tcPr>
            <w:tcW w:w="2694"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0. 20</w:t>
            </w:r>
          </w:p>
        </w:tc>
        <w:tc>
          <w:tcPr>
            <w:tcW w:w="2040"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909"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2</w:t>
            </w:r>
          </w:p>
        </w:tc>
        <w:tc>
          <w:tcPr>
            <w:tcW w:w="2693"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电缆沟用地区</w:t>
            </w:r>
          </w:p>
        </w:tc>
        <w:tc>
          <w:tcPr>
            <w:tcW w:w="2694"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0.05</w:t>
            </w:r>
          </w:p>
        </w:tc>
        <w:tc>
          <w:tcPr>
            <w:tcW w:w="2040"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3602"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合计</w:t>
            </w:r>
          </w:p>
        </w:tc>
        <w:tc>
          <w:tcPr>
            <w:tcW w:w="2694"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0.25</w:t>
            </w:r>
          </w:p>
        </w:tc>
        <w:tc>
          <w:tcPr>
            <w:tcW w:w="2040"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bl>
    <w:p>
      <w:pPr>
        <w:pStyle w:val="4"/>
        <w:spacing w:before="120"/>
      </w:pPr>
      <w:bookmarkStart w:id="44" w:name="_Toc484280791"/>
      <w:bookmarkStart w:id="45" w:name="_Toc13564"/>
      <w:bookmarkStart w:id="46" w:name="_Toc515294455"/>
      <w:bookmarkStart w:id="47" w:name="_Toc489977008"/>
      <w:bookmarkStart w:id="48" w:name="_Toc19578"/>
      <w:bookmarkStart w:id="49" w:name="_Toc496268050"/>
      <w:bookmarkStart w:id="50" w:name="_Toc4162"/>
      <w:bookmarkStart w:id="51" w:name="_Toc496268052"/>
      <w:r>
        <w:t>水土流失防治责任范围评估</w:t>
      </w:r>
      <w:bookmarkEnd w:id="44"/>
      <w:bookmarkEnd w:id="45"/>
      <w:bookmarkEnd w:id="46"/>
      <w:bookmarkEnd w:id="47"/>
      <w:bookmarkEnd w:id="48"/>
      <w:bookmarkEnd w:id="49"/>
      <w:bookmarkEnd w:id="50"/>
    </w:p>
    <w:p>
      <w:pPr>
        <w:spacing w:before="120"/>
        <w:ind w:firstLine="480"/>
      </w:pPr>
      <w:r>
        <w:t>本次验收是以《</w:t>
      </w:r>
      <w:r>
        <w:rPr>
          <w:rFonts w:hint="eastAsia"/>
          <w:lang w:eastAsia="zh-CN"/>
        </w:rPr>
        <w:t>甘孜康定新都桥220kV临时变35kV配套工程</w:t>
      </w:r>
      <w:r>
        <w:t>水土保持方案报告表》和</w:t>
      </w:r>
      <w:r>
        <w:rPr>
          <w:rFonts w:hint="eastAsia"/>
          <w:lang w:eastAsia="zh-CN"/>
        </w:rPr>
        <w:t>《</w:t>
      </w:r>
      <w:r>
        <w:rPr>
          <w:rFonts w:hint="eastAsia"/>
          <w:color w:val="000000" w:themeColor="text1"/>
          <w:lang w:val="en-US" w:eastAsia="zh-CN"/>
        </w:rPr>
        <w:t>康定市生产建设项目</w:t>
      </w:r>
      <w:r>
        <w:rPr>
          <w:color w:val="000000" w:themeColor="text1"/>
        </w:rPr>
        <w:t>水土保持方案报告表</w:t>
      </w:r>
      <w:r>
        <w:rPr>
          <w:rFonts w:hint="eastAsia"/>
          <w:color w:val="000000" w:themeColor="text1"/>
          <w:lang w:val="en-US" w:eastAsia="zh-CN"/>
        </w:rPr>
        <w:t>行政许可决定书</w:t>
      </w:r>
      <w:r>
        <w:rPr>
          <w:color w:val="000000" w:themeColor="text1"/>
        </w:rPr>
        <w:t>》（</w:t>
      </w:r>
      <w:r>
        <w:rPr>
          <w:rFonts w:hint="eastAsia"/>
          <w:color w:val="000000" w:themeColor="text1"/>
          <w:lang w:val="en-US" w:eastAsia="zh-CN"/>
        </w:rPr>
        <w:t>康水利</w:t>
      </w:r>
      <w:r>
        <w:rPr>
          <w:color w:val="000000" w:themeColor="text1"/>
        </w:rPr>
        <w:t>[20</w:t>
      </w:r>
      <w:r>
        <w:rPr>
          <w:rFonts w:hint="eastAsia"/>
          <w:color w:val="000000" w:themeColor="text1"/>
          <w:lang w:val="en-US" w:eastAsia="zh-CN"/>
        </w:rPr>
        <w:t>20</w:t>
      </w:r>
      <w:r>
        <w:rPr>
          <w:color w:val="000000" w:themeColor="text1"/>
        </w:rPr>
        <w:t>]</w:t>
      </w:r>
      <w:r>
        <w:rPr>
          <w:rFonts w:hint="eastAsia"/>
          <w:color w:val="000000" w:themeColor="text1"/>
          <w:lang w:val="en-US" w:eastAsia="zh-CN"/>
        </w:rPr>
        <w:t>102</w:t>
      </w:r>
      <w:r>
        <w:rPr>
          <w:color w:val="000000" w:themeColor="text1"/>
        </w:rPr>
        <w:t>号）</w:t>
      </w:r>
      <w:r>
        <w:t>为依据，并辅以现场复核</w:t>
      </w:r>
      <w:r>
        <w:rPr>
          <w:rFonts w:hint="eastAsia"/>
        </w:rPr>
        <w:t>。</w:t>
      </w:r>
      <w:r>
        <w:t>本项目</w:t>
      </w:r>
      <w:r>
        <w:rPr>
          <w:lang w:val="zh-CN"/>
        </w:rPr>
        <w:t>的防治责任范围分为</w:t>
      </w:r>
      <w:r>
        <w:rPr>
          <w:rFonts w:hint="eastAsia"/>
          <w:lang w:val="en-US" w:eastAsia="zh-CN"/>
        </w:rPr>
        <w:t>变电站及进站道路用地</w:t>
      </w:r>
      <w:r>
        <w:t>区和</w:t>
      </w:r>
      <w:r>
        <w:rPr>
          <w:rFonts w:hint="eastAsia"/>
          <w:lang w:val="en-US" w:eastAsia="zh-CN"/>
        </w:rPr>
        <w:t>电缆沟用地</w:t>
      </w:r>
      <w:r>
        <w:t>区二个分区。通过现场调查、量测，对照方案确定的水土流失防治责任范围，对每个防治分区的面积进行核实，最后核定出该项目的水土流失防治责任范围。</w:t>
      </w:r>
    </w:p>
    <w:p>
      <w:pPr>
        <w:pStyle w:val="4"/>
        <w:spacing w:before="120"/>
      </w:pPr>
      <w:bookmarkStart w:id="52" w:name="_Toc515294456"/>
      <w:r>
        <w:t>工程建设期实际水土流失防治责任范围</w:t>
      </w:r>
      <w:bookmarkEnd w:id="51"/>
      <w:bookmarkEnd w:id="52"/>
    </w:p>
    <w:p>
      <w:pPr>
        <w:spacing w:before="120"/>
        <w:ind w:firstLine="480"/>
      </w:pPr>
      <w:r>
        <w:t>实际建设过程中，本项目严格按照主体设计和水土保持方案确定的范围和建设内容进行建设。本工程建设期实际水土流失防治责任范围面积为</w:t>
      </w:r>
      <w:r>
        <w:rPr>
          <w:rFonts w:hint="eastAsia"/>
          <w:lang w:val="en-US" w:eastAsia="zh-CN"/>
        </w:rPr>
        <w:t>0.25</w:t>
      </w:r>
      <w:r>
        <w:t>hm</w:t>
      </w:r>
      <w:r>
        <w:rPr>
          <w:vertAlign w:val="superscript"/>
        </w:rPr>
        <w:t>2</w:t>
      </w:r>
      <w:r>
        <w:t>，项目建设区</w:t>
      </w:r>
      <w:r>
        <w:rPr>
          <w:rFonts w:hint="eastAsia"/>
          <w:lang w:val="en-US" w:eastAsia="zh-CN"/>
        </w:rPr>
        <w:t>0.25</w:t>
      </w:r>
      <w:r>
        <w:t>hm</w:t>
      </w:r>
      <w:r>
        <w:rPr>
          <w:vertAlign w:val="superscript"/>
        </w:rPr>
        <w:t>2</w:t>
      </w:r>
      <w:r>
        <w:t>，直接影响区0hm</w:t>
      </w:r>
      <w:r>
        <w:rPr>
          <w:vertAlign w:val="superscript"/>
        </w:rPr>
        <w:t>2</w:t>
      </w:r>
      <w:r>
        <w:t>；工程实际水土流失防治责任范围见表3.1-2。水土流失防治责任范围面积对比表详见表3.1-3。</w:t>
      </w:r>
    </w:p>
    <w:p>
      <w:pPr>
        <w:pStyle w:val="58"/>
        <w:spacing w:before="120"/>
        <w:rPr>
          <w:color w:val="auto"/>
          <w:vertAlign w:val="superscript"/>
        </w:rPr>
      </w:pPr>
      <w:r>
        <w:rPr>
          <w:color w:val="auto"/>
        </w:rPr>
        <w:t>工程实际水土流失防治责任范围  单位：hm</w:t>
      </w:r>
      <w:r>
        <w:rPr>
          <w:color w:val="auto"/>
          <w:vertAlign w:val="superscript"/>
        </w:rPr>
        <w:t>2</w:t>
      </w:r>
    </w:p>
    <w:p>
      <w:pPr>
        <w:pStyle w:val="13"/>
        <w:keepNext/>
      </w:pPr>
      <w:r>
        <w:t xml:space="preserve">表 </w:t>
      </w:r>
      <w:r>
        <w:rPr>
          <w:rFonts w:hint="eastAsia"/>
        </w:rPr>
        <w:t>3.1</w:t>
      </w:r>
      <w:r>
        <w:noBreakHyphen/>
      </w:r>
      <w:r>
        <w:fldChar w:fldCharType="begin"/>
      </w:r>
      <w:r>
        <w:instrText xml:space="preserve"> SEQ 表 \* ARABIC \s 2 </w:instrText>
      </w:r>
      <w:r>
        <w:fldChar w:fldCharType="separate"/>
      </w:r>
      <w:r>
        <w:t>2</w:t>
      </w:r>
      <w:r>
        <w:fldChar w:fldCharType="end"/>
      </w:r>
    </w:p>
    <w:tbl>
      <w:tblPr>
        <w:tblStyle w:val="32"/>
        <w:tblW w:w="8336" w:type="dxa"/>
        <w:jc w:val="center"/>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15" w:type="dxa"/>
          <w:left w:w="15" w:type="dxa"/>
          <w:bottom w:w="15" w:type="dxa"/>
          <w:right w:w="15" w:type="dxa"/>
        </w:tblCellMar>
      </w:tblPr>
      <w:tblGrid>
        <w:gridCol w:w="909"/>
        <w:gridCol w:w="2693"/>
        <w:gridCol w:w="2694"/>
        <w:gridCol w:w="2040"/>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909"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序号</w:t>
            </w:r>
          </w:p>
        </w:tc>
        <w:tc>
          <w:tcPr>
            <w:tcW w:w="2693"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防治分区</w:t>
            </w:r>
          </w:p>
        </w:tc>
        <w:tc>
          <w:tcPr>
            <w:tcW w:w="2694"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防治责任</w:t>
            </w:r>
            <w:r>
              <w:rPr>
                <w:color w:val="000000" w:themeColor="text1"/>
              </w:rPr>
              <w:t>面积（hm²）</w:t>
            </w:r>
          </w:p>
        </w:tc>
        <w:tc>
          <w:tcPr>
            <w:tcW w:w="2040"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备注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909"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1</w:t>
            </w:r>
          </w:p>
        </w:tc>
        <w:tc>
          <w:tcPr>
            <w:tcW w:w="2693"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变电站及</w:t>
            </w:r>
            <w:r>
              <w:rPr>
                <w:color w:val="000000" w:themeColor="text1"/>
                <w:kern w:val="0"/>
              </w:rPr>
              <w:t>进站道路</w:t>
            </w:r>
            <w:r>
              <w:rPr>
                <w:color w:val="000000" w:themeColor="text1"/>
              </w:rPr>
              <w:t>用地区</w:t>
            </w:r>
          </w:p>
        </w:tc>
        <w:tc>
          <w:tcPr>
            <w:tcW w:w="2694"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0. 20</w:t>
            </w:r>
          </w:p>
        </w:tc>
        <w:tc>
          <w:tcPr>
            <w:tcW w:w="2040"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909"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2</w:t>
            </w:r>
          </w:p>
        </w:tc>
        <w:tc>
          <w:tcPr>
            <w:tcW w:w="2693"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电缆沟用地区</w:t>
            </w:r>
          </w:p>
        </w:tc>
        <w:tc>
          <w:tcPr>
            <w:tcW w:w="2694"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0.05</w:t>
            </w:r>
          </w:p>
        </w:tc>
        <w:tc>
          <w:tcPr>
            <w:tcW w:w="2040"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3602" w:type="dxa"/>
            <w:gridSpan w:val="2"/>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color w:val="000000" w:themeColor="text1"/>
              </w:rPr>
              <w:t>合计</w:t>
            </w:r>
          </w:p>
        </w:tc>
        <w:tc>
          <w:tcPr>
            <w:tcW w:w="2694"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r>
              <w:rPr>
                <w:rFonts w:hint="eastAsia"/>
                <w:color w:val="000000" w:themeColor="text1"/>
              </w:rPr>
              <w:t>0.25</w:t>
            </w:r>
          </w:p>
        </w:tc>
        <w:tc>
          <w:tcPr>
            <w:tcW w:w="2040" w:type="dxa"/>
            <w:tcBorders>
              <w:tl2br w:val="nil"/>
              <w:tr2bl w:val="nil"/>
            </w:tcBorders>
            <w:vAlign w:val="center"/>
          </w:tcPr>
          <w:p>
            <w:pPr>
              <w:pStyle w:val="84"/>
              <w:keepNext w:val="0"/>
              <w:keepLines w:val="0"/>
              <w:widowControl/>
              <w:suppressLineNumbers w:val="0"/>
              <w:spacing w:before="0" w:beforeAutospacing="0" w:after="0" w:afterAutospacing="0"/>
              <w:ind w:left="0" w:right="0"/>
              <w:rPr>
                <w:color w:val="000000" w:themeColor="text1"/>
              </w:rPr>
            </w:pPr>
          </w:p>
        </w:tc>
      </w:tr>
    </w:tbl>
    <w:p>
      <w:pPr>
        <w:pStyle w:val="58"/>
        <w:spacing w:before="120"/>
        <w:rPr>
          <w:color w:val="auto"/>
          <w:vertAlign w:val="superscript"/>
        </w:rPr>
      </w:pPr>
      <w:r>
        <w:rPr>
          <w:color w:val="auto"/>
        </w:rPr>
        <w:t>水土流失防治责任范围对比表 单位：hm</w:t>
      </w:r>
      <w:r>
        <w:rPr>
          <w:color w:val="auto"/>
          <w:vertAlign w:val="superscript"/>
        </w:rPr>
        <w:t>2</w:t>
      </w:r>
    </w:p>
    <w:p>
      <w:pPr>
        <w:pStyle w:val="13"/>
        <w:keepNext/>
      </w:pPr>
      <w:r>
        <w:t xml:space="preserve">表 </w:t>
      </w:r>
      <w:r>
        <w:rPr>
          <w:rFonts w:hint="eastAsia"/>
        </w:rPr>
        <w:t>3.1</w:t>
      </w:r>
      <w:r>
        <w:noBreakHyphen/>
      </w:r>
      <w:r>
        <w:fldChar w:fldCharType="begin"/>
      </w:r>
      <w:r>
        <w:instrText xml:space="preserve"> SEQ 表 \* ARABIC \s 2 </w:instrText>
      </w:r>
      <w:r>
        <w:fldChar w:fldCharType="separate"/>
      </w:r>
      <w:r>
        <w:t>3</w:t>
      </w:r>
      <w:r>
        <w:fldChar w:fldCharType="end"/>
      </w:r>
    </w:p>
    <w:tbl>
      <w:tblPr>
        <w:tblStyle w:val="33"/>
        <w:tblW w:w="8328"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1" w:type="dxa"/>
          <w:bottom w:w="0" w:type="dxa"/>
          <w:right w:w="11" w:type="dxa"/>
        </w:tblCellMar>
      </w:tblPr>
      <w:tblGrid>
        <w:gridCol w:w="2855"/>
        <w:gridCol w:w="997"/>
        <w:gridCol w:w="997"/>
        <w:gridCol w:w="1425"/>
        <w:gridCol w:w="205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1" w:type="dxa"/>
            <w:bottom w:w="0" w:type="dxa"/>
            <w:right w:w="11" w:type="dxa"/>
          </w:tblCellMar>
        </w:tblPrEx>
        <w:trPr>
          <w:trHeight w:val="340" w:hRule="atLeast"/>
        </w:trPr>
        <w:tc>
          <w:tcPr>
            <w:tcW w:w="2855" w:type="dxa"/>
            <w:vMerge w:val="restart"/>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防治分区</w:t>
            </w:r>
          </w:p>
        </w:tc>
        <w:tc>
          <w:tcPr>
            <w:tcW w:w="997" w:type="dxa"/>
            <w:vMerge w:val="restart"/>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批复面积</w:t>
            </w:r>
          </w:p>
        </w:tc>
        <w:tc>
          <w:tcPr>
            <w:tcW w:w="997" w:type="dxa"/>
            <w:vMerge w:val="restart"/>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实际面积</w:t>
            </w:r>
          </w:p>
        </w:tc>
        <w:tc>
          <w:tcPr>
            <w:tcW w:w="1425" w:type="dxa"/>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变化情况</w:t>
            </w:r>
          </w:p>
        </w:tc>
        <w:tc>
          <w:tcPr>
            <w:tcW w:w="2054" w:type="dxa"/>
            <w:vMerge w:val="restart"/>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防治责任对象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1" w:type="dxa"/>
            <w:bottom w:w="0" w:type="dxa"/>
            <w:right w:w="11" w:type="dxa"/>
          </w:tblCellMar>
        </w:tblPrEx>
        <w:trPr>
          <w:trHeight w:val="340" w:hRule="atLeast"/>
        </w:trPr>
        <w:tc>
          <w:tcPr>
            <w:tcW w:w="2855"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997"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997"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1425" w:type="dxa"/>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w:t>
            </w:r>
          </w:p>
        </w:tc>
        <w:tc>
          <w:tcPr>
            <w:tcW w:w="2054"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1" w:type="dxa"/>
            <w:bottom w:w="0" w:type="dxa"/>
            <w:right w:w="11" w:type="dxa"/>
          </w:tblCellMar>
        </w:tblPrEx>
        <w:trPr>
          <w:trHeight w:val="340" w:hRule="atLeast"/>
        </w:trPr>
        <w:tc>
          <w:tcPr>
            <w:tcW w:w="2855" w:type="dxa"/>
            <w:tcBorders>
              <w:bottom w:val="single" w:color="000000" w:sz="2" w:space="0"/>
              <w:tl2br w:val="nil"/>
              <w:tr2bl w:val="nil"/>
            </w:tcBorders>
            <w:vAlign w:val="center"/>
          </w:tcPr>
          <w:p>
            <w:pPr>
              <w:pStyle w:val="84"/>
              <w:keepNext w:val="0"/>
              <w:keepLines w:val="0"/>
              <w:widowControl/>
              <w:suppressLineNumbers w:val="0"/>
              <w:spacing w:before="0" w:beforeAutospacing="0" w:after="0" w:afterAutospacing="0"/>
              <w:ind w:left="0" w:right="0" w:firstLine="0" w:firstLineChars="0"/>
              <w:rPr>
                <w:rFonts w:cs="Times New Roman"/>
                <w:color w:val="auto"/>
                <w:sz w:val="18"/>
              </w:rPr>
            </w:pPr>
            <w:r>
              <w:rPr>
                <w:color w:val="000000" w:themeColor="text1"/>
              </w:rPr>
              <w:t>变电站及</w:t>
            </w:r>
            <w:r>
              <w:rPr>
                <w:color w:val="000000" w:themeColor="text1"/>
                <w:kern w:val="0"/>
              </w:rPr>
              <w:t>进站道路</w:t>
            </w:r>
            <w:r>
              <w:rPr>
                <w:color w:val="000000" w:themeColor="text1"/>
              </w:rPr>
              <w:t>用地区</w:t>
            </w:r>
          </w:p>
        </w:tc>
        <w:tc>
          <w:tcPr>
            <w:tcW w:w="997" w:type="dxa"/>
            <w:tcBorders>
              <w:tl2br w:val="nil"/>
              <w:tr2bl w:val="nil"/>
            </w:tcBorders>
            <w:vAlign w:val="center"/>
          </w:tcPr>
          <w:p>
            <w:pPr>
              <w:pStyle w:val="53"/>
              <w:keepNext w:val="0"/>
              <w:keepLines w:val="0"/>
              <w:widowControl/>
              <w:suppressLineNumbers w:val="0"/>
              <w:spacing w:before="0" w:beforeAutospacing="0" w:after="0" w:afterAutospacing="0"/>
              <w:ind w:left="0" w:right="0" w:firstLine="0" w:firstLineChars="0"/>
              <w:rPr>
                <w:rFonts w:hint="eastAsia" w:eastAsia="仿宋_GB2312"/>
                <w:color w:val="auto"/>
                <w:sz w:val="18"/>
                <w:lang w:val="en-US" w:eastAsia="zh-CN"/>
              </w:rPr>
            </w:pPr>
            <w:r>
              <w:rPr>
                <w:rFonts w:hint="eastAsia"/>
                <w:color w:val="auto"/>
                <w:sz w:val="18"/>
                <w:lang w:val="en-US" w:eastAsia="zh-CN"/>
              </w:rPr>
              <w:t>0.20</w:t>
            </w:r>
          </w:p>
        </w:tc>
        <w:tc>
          <w:tcPr>
            <w:tcW w:w="997" w:type="dxa"/>
            <w:tcBorders>
              <w:tl2br w:val="nil"/>
              <w:tr2bl w:val="nil"/>
            </w:tcBorders>
            <w:vAlign w:val="center"/>
          </w:tcPr>
          <w:p>
            <w:pPr>
              <w:pStyle w:val="53"/>
              <w:keepNext w:val="0"/>
              <w:keepLines w:val="0"/>
              <w:widowControl/>
              <w:suppressLineNumbers w:val="0"/>
              <w:spacing w:before="0" w:beforeAutospacing="0" w:after="0" w:afterAutospacing="0"/>
              <w:ind w:left="0" w:right="0" w:firstLine="0" w:firstLineChars="0"/>
              <w:rPr>
                <w:rFonts w:hint="default"/>
                <w:color w:val="auto"/>
                <w:sz w:val="18"/>
                <w:lang w:val="en-US"/>
              </w:rPr>
            </w:pPr>
            <w:r>
              <w:rPr>
                <w:rFonts w:hint="eastAsia"/>
                <w:color w:val="auto"/>
                <w:sz w:val="18"/>
                <w:lang w:val="en-US" w:eastAsia="zh-CN"/>
              </w:rPr>
              <w:t>0.20</w:t>
            </w:r>
          </w:p>
        </w:tc>
        <w:tc>
          <w:tcPr>
            <w:tcW w:w="1425" w:type="dxa"/>
            <w:tcBorders>
              <w:tl2br w:val="nil"/>
              <w:tr2bl w:val="nil"/>
            </w:tcBorders>
            <w:vAlign w:val="center"/>
          </w:tcPr>
          <w:p>
            <w:pPr>
              <w:pStyle w:val="53"/>
              <w:keepNext w:val="0"/>
              <w:keepLines w:val="0"/>
              <w:widowControl/>
              <w:suppressLineNumbers w:val="0"/>
              <w:spacing w:before="0" w:beforeAutospacing="0" w:after="0" w:afterAutospacing="0"/>
              <w:ind w:left="0" w:right="0"/>
              <w:rPr>
                <w:rFonts w:hint="eastAsia" w:eastAsia="仿宋_GB2312" w:cs="Times New Roman"/>
                <w:color w:val="auto"/>
                <w:sz w:val="18"/>
                <w:lang w:val="en-US" w:eastAsia="zh-CN"/>
              </w:rPr>
            </w:pPr>
            <w:r>
              <w:rPr>
                <w:rFonts w:hint="eastAsia" w:cs="Times New Roman"/>
                <w:color w:val="auto"/>
                <w:sz w:val="18"/>
                <w:lang w:val="en-US" w:eastAsia="zh-CN"/>
              </w:rPr>
              <w:t>0</w:t>
            </w:r>
          </w:p>
        </w:tc>
        <w:tc>
          <w:tcPr>
            <w:tcW w:w="2054" w:type="dxa"/>
            <w:vMerge w:val="restart"/>
            <w:tcBorders>
              <w:tl2br w:val="nil"/>
              <w:tr2bl w:val="nil"/>
            </w:tcBorders>
            <w:vAlign w:val="center"/>
          </w:tcPr>
          <w:p>
            <w:pPr>
              <w:pStyle w:val="53"/>
              <w:keepNext w:val="0"/>
              <w:keepLines w:val="0"/>
              <w:widowControl/>
              <w:suppressLineNumbers w:val="0"/>
              <w:spacing w:before="0" w:beforeAutospacing="0" w:after="0" w:afterAutospacing="0"/>
              <w:ind w:left="0" w:right="0"/>
              <w:rPr>
                <w:rFonts w:hint="default" w:eastAsia="仿宋_GB2312" w:cs="Times New Roman"/>
                <w:color w:val="auto"/>
                <w:sz w:val="18"/>
                <w:lang w:val="en-US" w:eastAsia="zh-CN"/>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1" w:type="dxa"/>
            <w:bottom w:w="0" w:type="dxa"/>
            <w:right w:w="11" w:type="dxa"/>
          </w:tblCellMar>
        </w:tblPrEx>
        <w:trPr>
          <w:trHeight w:val="340" w:hRule="atLeast"/>
        </w:trPr>
        <w:tc>
          <w:tcPr>
            <w:tcW w:w="2855" w:type="dxa"/>
            <w:tcBorders>
              <w:top w:val="single" w:color="000000" w:sz="2" w:space="0"/>
              <w:bottom w:val="single" w:color="000000" w:sz="2" w:space="0"/>
              <w:tl2br w:val="nil"/>
              <w:tr2bl w:val="nil"/>
            </w:tcBorders>
            <w:vAlign w:val="center"/>
          </w:tcPr>
          <w:p>
            <w:pPr>
              <w:pStyle w:val="84"/>
              <w:keepNext w:val="0"/>
              <w:keepLines w:val="0"/>
              <w:widowControl/>
              <w:suppressLineNumbers w:val="0"/>
              <w:spacing w:before="0" w:beforeAutospacing="0" w:after="0" w:afterAutospacing="0"/>
              <w:ind w:left="0" w:right="0" w:firstLine="0" w:firstLineChars="0"/>
              <w:rPr>
                <w:rFonts w:cs="Times New Roman"/>
                <w:color w:val="auto"/>
                <w:sz w:val="18"/>
              </w:rPr>
            </w:pPr>
            <w:r>
              <w:rPr>
                <w:color w:val="000000" w:themeColor="text1"/>
              </w:rPr>
              <w:t>电缆沟用地区</w:t>
            </w:r>
          </w:p>
        </w:tc>
        <w:tc>
          <w:tcPr>
            <w:tcW w:w="997" w:type="dxa"/>
            <w:tcBorders>
              <w:tl2br w:val="nil"/>
              <w:tr2bl w:val="nil"/>
            </w:tcBorders>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s="Times New Roman"/>
                <w:color w:val="auto"/>
                <w:sz w:val="18"/>
                <w:lang w:val="en-US" w:eastAsia="zh-CN"/>
              </w:rPr>
              <w:t>0.05</w:t>
            </w:r>
          </w:p>
        </w:tc>
        <w:tc>
          <w:tcPr>
            <w:tcW w:w="997" w:type="dxa"/>
            <w:tcBorders>
              <w:tl2br w:val="nil"/>
              <w:tr2bl w:val="nil"/>
            </w:tcBorders>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s="Times New Roman"/>
                <w:color w:val="auto"/>
                <w:sz w:val="18"/>
                <w:lang w:val="en-US" w:eastAsia="zh-CN"/>
              </w:rPr>
              <w:t>0.05</w:t>
            </w:r>
          </w:p>
        </w:tc>
        <w:tc>
          <w:tcPr>
            <w:tcW w:w="1425" w:type="dxa"/>
            <w:tcBorders>
              <w:tl2br w:val="nil"/>
              <w:tr2bl w:val="nil"/>
            </w:tcBorders>
            <w:vAlign w:val="center"/>
          </w:tcPr>
          <w:p>
            <w:pPr>
              <w:pStyle w:val="53"/>
              <w:keepNext w:val="0"/>
              <w:keepLines w:val="0"/>
              <w:widowControl/>
              <w:suppressLineNumbers w:val="0"/>
              <w:spacing w:before="0" w:beforeAutospacing="0" w:after="0" w:afterAutospacing="0"/>
              <w:ind w:left="0" w:right="0"/>
              <w:rPr>
                <w:rFonts w:hint="eastAsia" w:eastAsia="仿宋_GB2312" w:cs="Times New Roman"/>
                <w:color w:val="auto"/>
                <w:sz w:val="18"/>
                <w:lang w:val="en-US" w:eastAsia="zh-CN"/>
              </w:rPr>
            </w:pPr>
            <w:r>
              <w:rPr>
                <w:rFonts w:hint="eastAsia" w:cs="Times New Roman"/>
                <w:color w:val="auto"/>
                <w:sz w:val="18"/>
                <w:lang w:val="en-US" w:eastAsia="zh-CN"/>
              </w:rPr>
              <w:t>0</w:t>
            </w:r>
          </w:p>
        </w:tc>
        <w:tc>
          <w:tcPr>
            <w:tcW w:w="2054"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1" w:type="dxa"/>
            <w:bottom w:w="0" w:type="dxa"/>
            <w:right w:w="11" w:type="dxa"/>
          </w:tblCellMar>
        </w:tblPrEx>
        <w:trPr>
          <w:trHeight w:val="340" w:hRule="atLeast"/>
        </w:trPr>
        <w:tc>
          <w:tcPr>
            <w:tcW w:w="2855" w:type="dxa"/>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b/>
                <w:bCs/>
                <w:color w:val="auto"/>
                <w:sz w:val="18"/>
              </w:rPr>
            </w:pPr>
            <w:r>
              <w:rPr>
                <w:rFonts w:cs="Times New Roman"/>
                <w:b/>
                <w:bCs/>
                <w:color w:val="auto"/>
                <w:sz w:val="18"/>
              </w:rPr>
              <w:t>合计</w:t>
            </w:r>
          </w:p>
        </w:tc>
        <w:tc>
          <w:tcPr>
            <w:tcW w:w="997" w:type="dxa"/>
            <w:tcBorders>
              <w:tl2br w:val="nil"/>
              <w:tr2bl w:val="nil"/>
            </w:tcBorders>
            <w:vAlign w:val="center"/>
          </w:tcPr>
          <w:p>
            <w:pPr>
              <w:pStyle w:val="53"/>
              <w:keepNext w:val="0"/>
              <w:keepLines w:val="0"/>
              <w:widowControl/>
              <w:suppressLineNumbers w:val="0"/>
              <w:spacing w:before="0" w:beforeAutospacing="0" w:after="0" w:afterAutospacing="0"/>
              <w:ind w:left="0" w:right="0"/>
              <w:rPr>
                <w:rFonts w:hint="default" w:eastAsia="仿宋_GB2312"/>
                <w:b/>
                <w:color w:val="auto"/>
                <w:sz w:val="18"/>
                <w:lang w:val="en-US" w:eastAsia="zh-CN"/>
              </w:rPr>
            </w:pPr>
            <w:r>
              <w:rPr>
                <w:rFonts w:hint="eastAsia"/>
                <w:b/>
                <w:color w:val="auto"/>
                <w:sz w:val="18"/>
                <w:lang w:val="en-US" w:eastAsia="zh-CN"/>
              </w:rPr>
              <w:t>0.25</w:t>
            </w:r>
          </w:p>
        </w:tc>
        <w:tc>
          <w:tcPr>
            <w:tcW w:w="997" w:type="dxa"/>
            <w:tcBorders>
              <w:tl2br w:val="nil"/>
              <w:tr2bl w:val="nil"/>
            </w:tcBorders>
            <w:vAlign w:val="center"/>
          </w:tcPr>
          <w:p>
            <w:pPr>
              <w:pStyle w:val="53"/>
              <w:keepNext w:val="0"/>
              <w:keepLines w:val="0"/>
              <w:widowControl/>
              <w:suppressLineNumbers w:val="0"/>
              <w:spacing w:before="0" w:beforeAutospacing="0" w:after="0" w:afterAutospacing="0"/>
              <w:ind w:left="0" w:right="0" w:firstLine="0" w:firstLineChars="0"/>
              <w:rPr>
                <w:rFonts w:hint="default" w:eastAsia="仿宋_GB2312"/>
                <w:b/>
                <w:color w:val="auto"/>
                <w:sz w:val="18"/>
                <w:lang w:val="en-US" w:eastAsia="zh-CN"/>
              </w:rPr>
            </w:pPr>
            <w:r>
              <w:rPr>
                <w:rFonts w:hint="eastAsia"/>
                <w:b/>
                <w:color w:val="auto"/>
                <w:sz w:val="18"/>
                <w:lang w:val="en-US" w:eastAsia="zh-CN"/>
              </w:rPr>
              <w:t>0.25</w:t>
            </w:r>
          </w:p>
        </w:tc>
        <w:tc>
          <w:tcPr>
            <w:tcW w:w="1425" w:type="dxa"/>
            <w:tcBorders>
              <w:tl2br w:val="nil"/>
              <w:tr2bl w:val="nil"/>
            </w:tcBorders>
            <w:vAlign w:val="center"/>
          </w:tcPr>
          <w:p>
            <w:pPr>
              <w:pStyle w:val="53"/>
              <w:keepNext w:val="0"/>
              <w:keepLines w:val="0"/>
              <w:widowControl/>
              <w:suppressLineNumbers w:val="0"/>
              <w:spacing w:before="0" w:beforeAutospacing="0" w:after="0" w:afterAutospacing="0"/>
              <w:ind w:left="0" w:right="0"/>
              <w:rPr>
                <w:rFonts w:hint="default" w:eastAsia="仿宋_GB2312" w:cs="Times New Roman"/>
                <w:color w:val="auto"/>
                <w:sz w:val="18"/>
                <w:lang w:val="en-US" w:eastAsia="zh-CN"/>
              </w:rPr>
            </w:pPr>
            <w:r>
              <w:rPr>
                <w:rFonts w:hint="eastAsia" w:cs="Times New Roman"/>
                <w:color w:val="auto"/>
                <w:sz w:val="18"/>
                <w:lang w:val="en-US" w:eastAsia="zh-CN"/>
              </w:rPr>
              <w:t>0</w:t>
            </w:r>
          </w:p>
        </w:tc>
        <w:tc>
          <w:tcPr>
            <w:tcW w:w="2054" w:type="dxa"/>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r>
    </w:tbl>
    <w:p>
      <w:pPr>
        <w:spacing w:before="120"/>
        <w:ind w:firstLine="480"/>
      </w:pPr>
    </w:p>
    <w:p>
      <w:pPr>
        <w:pStyle w:val="4"/>
        <w:spacing w:before="120"/>
      </w:pPr>
      <w:bookmarkStart w:id="53" w:name="_Toc515294457"/>
      <w:bookmarkStart w:id="54" w:name="_Toc496268053"/>
      <w:r>
        <w:t>水土流失防治责任范围变化原因分析</w:t>
      </w:r>
      <w:bookmarkEnd w:id="53"/>
      <w:bookmarkEnd w:id="54"/>
    </w:p>
    <w:p>
      <w:pPr>
        <w:spacing w:before="120"/>
        <w:ind w:firstLine="480"/>
      </w:pPr>
      <w:r>
        <w:t>水土保持方案报告表编制深度为</w:t>
      </w:r>
      <w:r>
        <w:rPr>
          <w:rFonts w:hint="eastAsia"/>
          <w:lang w:val="en-US" w:eastAsia="zh-CN"/>
        </w:rPr>
        <w:t>初步</w:t>
      </w:r>
      <w:r>
        <w:t>设计深度，在后期设计和施工中，</w:t>
      </w:r>
      <w:r>
        <w:rPr>
          <w:rFonts w:hint="eastAsia"/>
          <w:lang w:val="en-US" w:eastAsia="zh-CN"/>
        </w:rPr>
        <w:t>建设单位</w:t>
      </w:r>
      <w:r>
        <w:t>严格按照批复方案和初步设计方案进行深入和优化设计</w:t>
      </w:r>
      <w:r>
        <w:rPr>
          <w:rFonts w:hint="eastAsia"/>
          <w:lang w:eastAsia="zh-CN"/>
        </w:rPr>
        <w:t>，</w:t>
      </w:r>
      <w:r>
        <w:rPr>
          <w:rFonts w:hint="eastAsia"/>
          <w:lang w:val="en-US" w:eastAsia="zh-CN"/>
        </w:rPr>
        <w:t>水土流失防治责任范围无变化</w:t>
      </w:r>
      <w:r>
        <w:rPr>
          <w:szCs w:val="21"/>
        </w:rPr>
        <w:t>。</w:t>
      </w:r>
    </w:p>
    <w:p>
      <w:pPr>
        <w:pStyle w:val="2"/>
        <w:spacing w:before="120" w:after="120"/>
        <w:ind w:firstLine="0" w:firstLineChars="0"/>
        <w:rPr>
          <w:b/>
          <w:bCs/>
        </w:rPr>
      </w:pPr>
      <w:bookmarkStart w:id="55" w:name="_Toc31541"/>
      <w:bookmarkStart w:id="56" w:name="_Toc515294458"/>
      <w:r>
        <w:rPr>
          <w:rFonts w:hint="eastAsia"/>
          <w:b/>
          <w:bCs/>
        </w:rPr>
        <w:t xml:space="preserve">3.2  </w:t>
      </w:r>
      <w:r>
        <w:rPr>
          <w:b/>
          <w:bCs/>
        </w:rPr>
        <w:t>弃渣场设置</w:t>
      </w:r>
      <w:bookmarkEnd w:id="55"/>
      <w:bookmarkEnd w:id="56"/>
    </w:p>
    <w:p>
      <w:pPr>
        <w:spacing w:before="120"/>
        <w:ind w:firstLine="480"/>
      </w:pPr>
      <w:r>
        <w:t>本项目</w:t>
      </w:r>
      <w:r>
        <w:rPr>
          <w:rFonts w:hint="eastAsia"/>
        </w:rPr>
        <w:t>实际</w:t>
      </w:r>
      <w:r>
        <w:t>施工土石方</w:t>
      </w:r>
      <w:r>
        <w:rPr>
          <w:rFonts w:hint="eastAsia"/>
          <w:lang w:val="en-US" w:eastAsia="zh-CN"/>
        </w:rPr>
        <w:t>量与批复的水土保持方案报告表基本一致，</w:t>
      </w:r>
      <w:r>
        <w:rPr>
          <w:rFonts w:hint="eastAsia"/>
        </w:rPr>
        <w:t>开挖总量</w:t>
      </w:r>
      <w:r>
        <w:rPr>
          <w:rFonts w:hint="eastAsia"/>
          <w:color w:val="000000" w:themeColor="text1"/>
          <w:lang w:val="en-US" w:eastAsia="zh-CN"/>
        </w:rPr>
        <w:t>0.30</w:t>
      </w:r>
      <w:r>
        <w:rPr>
          <w:color w:val="000000" w:themeColor="text1"/>
        </w:rPr>
        <w:t>万m³，土石方回填利用</w:t>
      </w:r>
      <w:r>
        <w:rPr>
          <w:rFonts w:hint="eastAsia"/>
          <w:color w:val="000000" w:themeColor="text1"/>
          <w:lang w:val="en-US" w:eastAsia="zh-CN"/>
        </w:rPr>
        <w:t>0.30</w:t>
      </w:r>
      <w:r>
        <w:rPr>
          <w:color w:val="000000" w:themeColor="text1"/>
        </w:rPr>
        <w:t>万 m³，</w:t>
      </w:r>
      <w:r>
        <w:rPr>
          <w:rFonts w:hint="eastAsia" w:ascii="Times New Roman" w:hAnsi="Times New Roman" w:eastAsia="仿宋_GB2312" w:cs="Times New Roman"/>
          <w:kern w:val="2"/>
          <w:sz w:val="24"/>
          <w:szCs w:val="24"/>
          <w:lang w:val="en-US" w:eastAsia="zh-CN" w:bidi="ar"/>
        </w:rPr>
        <w:t>无弃方产生，不设置弃土场</w:t>
      </w:r>
      <w:r>
        <w:rPr>
          <w:rFonts w:hint="eastAsia"/>
          <w:color w:val="000000" w:themeColor="text1"/>
        </w:rPr>
        <w:t>，</w:t>
      </w:r>
      <w:r>
        <w:rPr>
          <w:rFonts w:hint="eastAsia" w:cs="Times New Roman"/>
          <w:color w:val="000000" w:themeColor="text1"/>
        </w:rPr>
        <w:t>回填区域位于本项目场地东侧</w:t>
      </w:r>
      <w:r>
        <w:t>。</w:t>
      </w:r>
    </w:p>
    <w:p>
      <w:pPr>
        <w:pStyle w:val="2"/>
        <w:spacing w:before="120" w:after="120"/>
        <w:ind w:firstLine="0" w:firstLineChars="0"/>
        <w:rPr>
          <w:b/>
          <w:bCs/>
        </w:rPr>
      </w:pPr>
      <w:bookmarkStart w:id="57" w:name="_Toc515294459"/>
      <w:bookmarkStart w:id="58" w:name="_Toc21414"/>
      <w:r>
        <w:rPr>
          <w:rFonts w:hint="eastAsia"/>
          <w:b/>
          <w:bCs/>
        </w:rPr>
        <w:t xml:space="preserve">3.3  </w:t>
      </w:r>
      <w:r>
        <w:rPr>
          <w:b/>
          <w:bCs/>
        </w:rPr>
        <w:t>取土（石、料）场设置</w:t>
      </w:r>
      <w:bookmarkEnd w:id="57"/>
      <w:bookmarkEnd w:id="58"/>
    </w:p>
    <w:p>
      <w:pPr>
        <w:spacing w:before="120"/>
        <w:ind w:firstLine="480"/>
      </w:pPr>
      <w:r>
        <w:t>经现场调查，查阅施工资料，本项目使用砂石骨料采用外购解决，实际未设置取土（石、料）场。</w:t>
      </w:r>
    </w:p>
    <w:p>
      <w:pPr>
        <w:pStyle w:val="2"/>
        <w:spacing w:before="120" w:after="120"/>
        <w:ind w:firstLine="0" w:firstLineChars="0"/>
        <w:rPr>
          <w:b/>
          <w:bCs/>
        </w:rPr>
      </w:pPr>
      <w:bookmarkStart w:id="59" w:name="_Toc14875"/>
      <w:bookmarkStart w:id="60" w:name="_Toc515873319"/>
      <w:r>
        <w:rPr>
          <w:rFonts w:hint="eastAsia"/>
          <w:b/>
          <w:bCs/>
        </w:rPr>
        <w:t xml:space="preserve">3.4  </w:t>
      </w:r>
      <w:r>
        <w:rPr>
          <w:b/>
          <w:bCs/>
        </w:rPr>
        <w:t>水土保持措施总体布局</w:t>
      </w:r>
      <w:bookmarkEnd w:id="59"/>
      <w:bookmarkEnd w:id="60"/>
    </w:p>
    <w:p>
      <w:pPr>
        <w:pStyle w:val="4"/>
        <w:numPr>
          <w:ilvl w:val="2"/>
          <w:numId w:val="0"/>
        </w:numPr>
        <w:spacing w:before="120"/>
      </w:pPr>
      <w:bookmarkStart w:id="61" w:name="_Toc489977012"/>
      <w:bookmarkStart w:id="62" w:name="_Toc496268056"/>
      <w:bookmarkStart w:id="63" w:name="_Toc484280795"/>
      <w:bookmarkStart w:id="64" w:name="_Toc515873320"/>
      <w:r>
        <w:rPr>
          <w:rFonts w:hint="eastAsia"/>
        </w:rPr>
        <w:t xml:space="preserve">3.4.1  </w:t>
      </w:r>
      <w:r>
        <w:t>水土保持措施总体布局</w:t>
      </w:r>
      <w:bookmarkEnd w:id="61"/>
      <w:bookmarkEnd w:id="62"/>
      <w:bookmarkEnd w:id="63"/>
      <w:bookmarkEnd w:id="64"/>
    </w:p>
    <w:p>
      <w:pPr>
        <w:pStyle w:val="5"/>
        <w:numPr>
          <w:ilvl w:val="3"/>
          <w:numId w:val="0"/>
        </w:numPr>
        <w:spacing w:before="120"/>
      </w:pPr>
      <w:r>
        <w:rPr>
          <w:rFonts w:hint="eastAsia"/>
        </w:rPr>
        <w:t xml:space="preserve">3.4.1.1  </w:t>
      </w:r>
      <w:r>
        <w:t>水土保持措施布局原则</w:t>
      </w:r>
    </w:p>
    <w:p>
      <w:pPr>
        <w:spacing w:before="120"/>
        <w:ind w:firstLine="480"/>
      </w:pPr>
      <w:r>
        <w:t>水土保持方案设计的内容将根据工程区的自然环境状况，结合项目建设特点，有针对性地采取工程、植物和临时措施，预防和治理因工程建设而诱发的新增水土流失。根据工程施工总布置、施工特点和工程完工后的土地利用意向，按照以下原则，布设水土流失防治措施。</w:t>
      </w:r>
    </w:p>
    <w:p>
      <w:pPr>
        <w:spacing w:before="120"/>
        <w:ind w:firstLine="480"/>
      </w:pPr>
      <w:r>
        <w:t>1、坚持“预防为主、防治结合、因需制宜、因害设防”的原则，对因工程建设和生产造成的水土流失防治进行总体设计、全面布局、科学配置。</w:t>
      </w:r>
    </w:p>
    <w:p>
      <w:pPr>
        <w:spacing w:before="120"/>
        <w:ind w:firstLine="480"/>
      </w:pPr>
      <w:r>
        <w:t>2、坚持综合防治、突出重点的原则，对工程区水土流失的防治应采用工程措施挡护、植物措施绿化、土地整治利用的综合防治体系，对工程区水土流失进行治理。同时结合水土流失预测，对工程水土流失严重地段应重点防治。</w:t>
      </w:r>
    </w:p>
    <w:p>
      <w:pPr>
        <w:spacing w:before="120"/>
        <w:ind w:firstLine="480"/>
      </w:pPr>
      <w:r>
        <w:t>3、按照分区防治的原则，结合项目区的地形地貌及气候特点分区采取适当的防治措施进行治理。</w:t>
      </w:r>
    </w:p>
    <w:p>
      <w:pPr>
        <w:spacing w:before="120"/>
        <w:ind w:firstLine="480"/>
      </w:pPr>
      <w:r>
        <w:t>4、生态效益优先原则，水保工程以控制水土流失、改善生态环境、恢复植被为重点。</w:t>
      </w:r>
    </w:p>
    <w:p>
      <w:pPr>
        <w:spacing w:before="120"/>
        <w:ind w:firstLine="480"/>
      </w:pPr>
      <w:r>
        <w:t>5、水土保持措施方案制定、设计与施工过程，在确保水保功能的同时，兼顾经济性和技术上易操作性的原则。水土保持工程措施应尽量就地取材，做到技术上可靠、经济上合理。植物措施要尽量选用适合当地的品种，并考虑绿化美化效果。</w:t>
      </w:r>
    </w:p>
    <w:p>
      <w:pPr>
        <w:spacing w:before="120"/>
        <w:ind w:firstLine="480"/>
      </w:pPr>
      <w:r>
        <w:t>6、项目建设过程中应注重生态环境保护，设置临时性防护措施，减少施工过程中造成的人为扰动及产生的废弃土石渣。</w:t>
      </w:r>
    </w:p>
    <w:p>
      <w:pPr>
        <w:spacing w:before="120"/>
        <w:ind w:firstLine="480"/>
      </w:pPr>
      <w:r>
        <w:t>7、注重吸收当地水土保持的成功经验，借鉴国内外先进技术。</w:t>
      </w:r>
    </w:p>
    <w:p>
      <w:pPr>
        <w:spacing w:before="120"/>
        <w:ind w:firstLine="480"/>
      </w:pPr>
      <w:r>
        <w:t>8、树立人与自然和谐相处的理念，尊重自然规律，注重与周边景观相协调。</w:t>
      </w:r>
    </w:p>
    <w:p>
      <w:pPr>
        <w:spacing w:before="120"/>
        <w:ind w:firstLine="480"/>
      </w:pPr>
      <w:r>
        <w:t>9、工程措施、植物措施、临时措施要合理配置、统筹兼顾、形成综合防护体系。</w:t>
      </w:r>
    </w:p>
    <w:p>
      <w:pPr>
        <w:spacing w:before="120"/>
        <w:ind w:firstLine="480"/>
      </w:pPr>
      <w:r>
        <w:t>10、防治措施布设要与主体工程密切配合，相互协调，形成整体。</w:t>
      </w:r>
    </w:p>
    <w:p>
      <w:pPr>
        <w:spacing w:before="120"/>
        <w:ind w:firstLine="480"/>
      </w:pPr>
      <w:r>
        <w:t>11、水土保持工程要满足与总体工程同时设计、同时施工、同时投产使用的“三同时”要求。</w:t>
      </w:r>
    </w:p>
    <w:p>
      <w:pPr>
        <w:pStyle w:val="4"/>
        <w:numPr>
          <w:ilvl w:val="2"/>
          <w:numId w:val="0"/>
        </w:numPr>
        <w:spacing w:before="120"/>
      </w:pPr>
      <w:bookmarkStart w:id="65" w:name="_Toc515873321"/>
      <w:r>
        <w:rPr>
          <w:rFonts w:hint="eastAsia"/>
        </w:rPr>
        <w:t xml:space="preserve">3.4.2  </w:t>
      </w:r>
      <w:r>
        <w:t>水土保持措施总体布局情况对比</w:t>
      </w:r>
      <w:bookmarkEnd w:id="65"/>
    </w:p>
    <w:p>
      <w:pPr>
        <w:spacing w:before="120"/>
        <w:ind w:firstLine="480"/>
      </w:pPr>
      <w:r>
        <w:t>工程实际实施的水土保持措施总体布局与设计措施布局对比情况详见表3.4-1。</w:t>
      </w:r>
    </w:p>
    <w:p>
      <w:pPr>
        <w:pStyle w:val="58"/>
        <w:spacing w:before="120"/>
        <w:rPr>
          <w:color w:val="auto"/>
        </w:rPr>
      </w:pPr>
      <w:r>
        <w:rPr>
          <w:rFonts w:hint="eastAsia"/>
          <w:color w:val="auto"/>
          <w:lang w:val="en-US" w:eastAsia="zh-CN"/>
        </w:rPr>
        <w:t xml:space="preserve">   </w:t>
      </w:r>
      <w:r>
        <w:rPr>
          <w:color w:val="auto"/>
        </w:rPr>
        <w:t>水土保持措施总体布局对比情况表</w:t>
      </w:r>
    </w:p>
    <w:p>
      <w:pPr>
        <w:pStyle w:val="13"/>
        <w:keepNext/>
      </w:pPr>
      <w:r>
        <w:t xml:space="preserve">表 </w:t>
      </w:r>
      <w:r>
        <w:rPr>
          <w:rFonts w:hint="eastAsia"/>
        </w:rPr>
        <w:t>3.4</w:t>
      </w:r>
      <w:r>
        <w:noBreakHyphen/>
      </w:r>
      <w:r>
        <w:fldChar w:fldCharType="begin"/>
      </w:r>
      <w:r>
        <w:instrText xml:space="preserve"> SEQ 表 \* ARABIC \s 2 </w:instrText>
      </w:r>
      <w:r>
        <w:fldChar w:fldCharType="separate"/>
      </w:r>
      <w:r>
        <w:t>1</w:t>
      </w:r>
      <w:r>
        <w:fldChar w:fldCharType="end"/>
      </w:r>
    </w:p>
    <w:tbl>
      <w:tblPr>
        <w:tblStyle w:val="32"/>
        <w:tblW w:w="8234" w:type="dxa"/>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1618"/>
        <w:gridCol w:w="993"/>
        <w:gridCol w:w="1842"/>
        <w:gridCol w:w="1843"/>
        <w:gridCol w:w="992"/>
        <w:gridCol w:w="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blHeader/>
        </w:trPr>
        <w:tc>
          <w:tcPr>
            <w:tcW w:w="161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防治分区</w:t>
            </w:r>
          </w:p>
        </w:tc>
        <w:tc>
          <w:tcPr>
            <w:tcW w:w="99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措施类型</w:t>
            </w:r>
          </w:p>
        </w:tc>
        <w:tc>
          <w:tcPr>
            <w:tcW w:w="184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方案设计措施</w:t>
            </w:r>
          </w:p>
        </w:tc>
        <w:tc>
          <w:tcPr>
            <w:tcW w:w="184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实际实施措施</w:t>
            </w:r>
          </w:p>
        </w:tc>
        <w:tc>
          <w:tcPr>
            <w:tcW w:w="99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投资列支</w:t>
            </w:r>
          </w:p>
        </w:tc>
        <w:tc>
          <w:tcPr>
            <w:tcW w:w="94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变化说明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618" w:type="dxa"/>
            <w:vMerge w:val="restart"/>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s="Times New Roman"/>
                <w:color w:val="auto"/>
                <w:sz w:val="18"/>
                <w:lang w:val="en-US" w:eastAsia="zh-CN"/>
              </w:rPr>
            </w:pPr>
            <w:r>
              <w:rPr>
                <w:rFonts w:hint="default" w:eastAsia="仿宋_GB2312" w:cs="Times New Roman"/>
                <w:color w:val="auto"/>
                <w:sz w:val="18"/>
                <w:lang w:val="en-US" w:eastAsia="zh-CN"/>
              </w:rPr>
              <w:t>变电站及进站道路用地区</w:t>
            </w:r>
          </w:p>
        </w:tc>
        <w:tc>
          <w:tcPr>
            <w:tcW w:w="993" w:type="dxa"/>
            <w:vMerge w:val="restart"/>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工程措施</w:t>
            </w:r>
          </w:p>
        </w:tc>
        <w:tc>
          <w:tcPr>
            <w:tcW w:w="184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eastAsia="仿宋_GB2312" w:cs="Times New Roman"/>
                <w:color w:val="auto"/>
                <w:sz w:val="18"/>
                <w:lang w:val="en-US" w:eastAsia="zh-CN"/>
              </w:rPr>
            </w:pPr>
            <w:r>
              <w:rPr>
                <w:rFonts w:hint="eastAsia" w:cs="Times New Roman"/>
                <w:color w:val="auto"/>
                <w:sz w:val="18"/>
                <w:lang w:val="en-US" w:eastAsia="zh-CN"/>
              </w:rPr>
              <w:t>排水沟、雨水管、涵</w:t>
            </w:r>
          </w:p>
        </w:tc>
        <w:tc>
          <w:tcPr>
            <w:tcW w:w="184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hint="eastAsia" w:cs="Times New Roman"/>
                <w:color w:val="auto"/>
                <w:sz w:val="18"/>
                <w:lang w:val="en-US" w:eastAsia="zh-CN"/>
              </w:rPr>
              <w:t>排水沟、雨水管、涵</w:t>
            </w:r>
          </w:p>
        </w:tc>
        <w:tc>
          <w:tcPr>
            <w:tcW w:w="99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cs="Times New Roman"/>
                <w:color w:val="auto"/>
                <w:sz w:val="18"/>
              </w:rPr>
              <w:t>主体设计</w:t>
            </w:r>
          </w:p>
        </w:tc>
        <w:tc>
          <w:tcPr>
            <w:tcW w:w="94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eastAsia="仿宋_GB2312" w:cs="Times New Roman"/>
                <w:color w:val="auto"/>
                <w:sz w:val="18"/>
                <w:lang w:val="en-US" w:eastAsia="zh-CN"/>
              </w:rPr>
            </w:pPr>
            <w:r>
              <w:rPr>
                <w:rFonts w:hint="eastAsia" w:cs="Times New Roman"/>
                <w:color w:val="auto"/>
                <w:sz w:val="18"/>
                <w:lang w:val="en-US" w:eastAsia="zh-CN"/>
              </w:rPr>
              <w:t>工程量有变化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618" w:type="dxa"/>
            <w:vMerge w:val="continue"/>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s="Times New Roman"/>
                <w:color w:val="auto"/>
                <w:sz w:val="18"/>
                <w:lang w:val="en-US" w:eastAsia="zh-CN"/>
              </w:rPr>
            </w:pPr>
          </w:p>
        </w:tc>
        <w:tc>
          <w:tcPr>
            <w:tcW w:w="993" w:type="dxa"/>
            <w:vMerge w:val="continue"/>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184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cs="Times New Roman"/>
                <w:color w:val="auto"/>
                <w:sz w:val="18"/>
                <w:lang w:val="en-US" w:eastAsia="zh-CN"/>
              </w:rPr>
            </w:pPr>
            <w:r>
              <w:rPr>
                <w:rFonts w:hint="eastAsia" w:cs="Times New Roman"/>
                <w:color w:val="auto"/>
                <w:sz w:val="18"/>
                <w:lang w:val="en-US" w:eastAsia="zh-CN"/>
              </w:rPr>
              <w:t>碎石铺盖</w:t>
            </w:r>
          </w:p>
        </w:tc>
        <w:tc>
          <w:tcPr>
            <w:tcW w:w="184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cs="Times New Roman"/>
                <w:color w:val="auto"/>
                <w:sz w:val="18"/>
                <w:lang w:val="en-US" w:eastAsia="zh-CN"/>
              </w:rPr>
            </w:pPr>
            <w:r>
              <w:rPr>
                <w:rFonts w:hint="eastAsia" w:cs="Times New Roman"/>
                <w:color w:val="auto"/>
                <w:sz w:val="18"/>
                <w:lang w:val="en-US" w:eastAsia="zh-CN"/>
              </w:rPr>
              <w:t>碎石铺盖</w:t>
            </w:r>
          </w:p>
        </w:tc>
        <w:tc>
          <w:tcPr>
            <w:tcW w:w="99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cs="Times New Roman"/>
                <w:color w:val="auto"/>
                <w:sz w:val="18"/>
              </w:rPr>
              <w:t>主体设计</w:t>
            </w:r>
          </w:p>
        </w:tc>
        <w:tc>
          <w:tcPr>
            <w:tcW w:w="94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cs="Times New Roman"/>
                <w:color w:val="aut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618" w:type="dxa"/>
            <w:vMerge w:val="continue"/>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s="Times New Roman"/>
                <w:color w:val="auto"/>
                <w:sz w:val="18"/>
                <w:lang w:val="en-US" w:eastAsia="zh-CN"/>
              </w:rPr>
            </w:pPr>
          </w:p>
        </w:tc>
        <w:tc>
          <w:tcPr>
            <w:tcW w:w="99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s="Times New Roman"/>
                <w:color w:val="auto"/>
                <w:sz w:val="18"/>
                <w:lang w:val="en-US" w:eastAsia="zh-CN"/>
              </w:rPr>
            </w:pPr>
            <w:r>
              <w:rPr>
                <w:rFonts w:hint="eastAsia" w:cs="Times New Roman"/>
                <w:color w:val="auto"/>
                <w:sz w:val="18"/>
                <w:lang w:val="en-US" w:eastAsia="zh-CN"/>
              </w:rPr>
              <w:t>植物措施</w:t>
            </w:r>
          </w:p>
        </w:tc>
        <w:tc>
          <w:tcPr>
            <w:tcW w:w="184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cs="Times New Roman"/>
                <w:color w:val="auto"/>
                <w:sz w:val="18"/>
                <w:lang w:val="en-US" w:eastAsia="zh-CN"/>
              </w:rPr>
            </w:pPr>
            <w:r>
              <w:rPr>
                <w:rFonts w:hint="eastAsia" w:cs="Times New Roman"/>
                <w:color w:val="auto"/>
                <w:sz w:val="18"/>
                <w:lang w:val="en-US" w:eastAsia="zh-CN"/>
              </w:rPr>
              <w:t>撒播植草</w:t>
            </w:r>
          </w:p>
        </w:tc>
        <w:tc>
          <w:tcPr>
            <w:tcW w:w="184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cs="Times New Roman"/>
                <w:color w:val="auto"/>
                <w:sz w:val="18"/>
                <w:lang w:val="en-US" w:eastAsia="zh-CN"/>
              </w:rPr>
            </w:pPr>
            <w:r>
              <w:rPr>
                <w:rFonts w:hint="eastAsia" w:cs="Times New Roman"/>
                <w:color w:val="auto"/>
                <w:sz w:val="18"/>
                <w:lang w:val="en-US" w:eastAsia="zh-CN"/>
              </w:rPr>
              <w:t>撒播植草</w:t>
            </w:r>
          </w:p>
        </w:tc>
        <w:tc>
          <w:tcPr>
            <w:tcW w:w="99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cs="Times New Roman"/>
                <w:color w:val="auto"/>
                <w:sz w:val="18"/>
              </w:rPr>
              <w:t>方案新增</w:t>
            </w:r>
          </w:p>
        </w:tc>
        <w:tc>
          <w:tcPr>
            <w:tcW w:w="94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cs="Times New Roman"/>
                <w:color w:val="aut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61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s="Times New Roman"/>
                <w:color w:val="auto"/>
                <w:sz w:val="18"/>
                <w:lang w:val="en-US" w:eastAsia="zh-CN"/>
              </w:rPr>
            </w:pPr>
            <w:r>
              <w:rPr>
                <w:rFonts w:hint="default" w:eastAsia="仿宋_GB2312" w:cs="Times New Roman"/>
                <w:color w:val="auto"/>
                <w:sz w:val="18"/>
                <w:lang w:val="en-US" w:eastAsia="zh-CN"/>
              </w:rPr>
              <w:t>电缆沟用地区</w:t>
            </w:r>
          </w:p>
        </w:tc>
        <w:tc>
          <w:tcPr>
            <w:tcW w:w="99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cs="Times New Roman"/>
                <w:color w:val="auto"/>
                <w:sz w:val="18"/>
                <w:lang w:val="en-US" w:eastAsia="zh-CN"/>
              </w:rPr>
            </w:pPr>
            <w:r>
              <w:rPr>
                <w:rFonts w:hint="eastAsia" w:cs="Times New Roman"/>
                <w:color w:val="auto"/>
                <w:sz w:val="18"/>
                <w:lang w:val="en-US" w:eastAsia="zh-CN"/>
              </w:rPr>
              <w:t>临时措施</w:t>
            </w:r>
          </w:p>
        </w:tc>
        <w:tc>
          <w:tcPr>
            <w:tcW w:w="184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cs="Times New Roman"/>
                <w:color w:val="auto"/>
                <w:sz w:val="18"/>
                <w:lang w:val="en-US" w:eastAsia="zh-CN"/>
              </w:rPr>
            </w:pPr>
            <w:r>
              <w:rPr>
                <w:rFonts w:hint="eastAsia" w:cs="Times New Roman"/>
                <w:color w:val="auto"/>
                <w:sz w:val="18"/>
                <w:lang w:val="en-US" w:eastAsia="zh-CN"/>
              </w:rPr>
              <w:t>防雨布遮盖</w:t>
            </w:r>
          </w:p>
        </w:tc>
        <w:tc>
          <w:tcPr>
            <w:tcW w:w="184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cs="Times New Roman"/>
                <w:color w:val="auto"/>
                <w:sz w:val="18"/>
                <w:lang w:val="en-US" w:eastAsia="zh-CN"/>
              </w:rPr>
            </w:pPr>
            <w:r>
              <w:rPr>
                <w:rFonts w:hint="eastAsia" w:cs="Times New Roman"/>
                <w:color w:val="auto"/>
                <w:sz w:val="18"/>
                <w:lang w:val="en-US" w:eastAsia="zh-CN"/>
              </w:rPr>
              <w:t>防雨布遮盖</w:t>
            </w:r>
          </w:p>
        </w:tc>
        <w:tc>
          <w:tcPr>
            <w:tcW w:w="99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cs="Times New Roman"/>
                <w:color w:val="auto"/>
                <w:sz w:val="18"/>
              </w:rPr>
              <w:t>方案新增</w:t>
            </w:r>
          </w:p>
        </w:tc>
        <w:tc>
          <w:tcPr>
            <w:tcW w:w="94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cs="Times New Roman"/>
                <w:color w:val="auto"/>
                <w:sz w:val="18"/>
                <w:lang w:val="en-US" w:eastAsia="zh-CN"/>
              </w:rPr>
            </w:pPr>
            <w:r>
              <w:rPr>
                <w:rFonts w:hint="eastAsia" w:cs="Times New Roman"/>
                <w:color w:val="auto"/>
                <w:sz w:val="18"/>
                <w:lang w:val="en-US" w:eastAsia="zh-CN"/>
              </w:rPr>
              <w:t>工程量有变化</w:t>
            </w:r>
          </w:p>
        </w:tc>
      </w:tr>
    </w:tbl>
    <w:p>
      <w:pPr>
        <w:pStyle w:val="4"/>
        <w:numPr>
          <w:ilvl w:val="2"/>
          <w:numId w:val="0"/>
        </w:numPr>
        <w:spacing w:before="120"/>
      </w:pPr>
      <w:bookmarkStart w:id="66" w:name="_Toc24119"/>
      <w:bookmarkStart w:id="67" w:name="_Toc496268057"/>
      <w:bookmarkStart w:id="68" w:name="_Toc515873322"/>
      <w:bookmarkStart w:id="69" w:name="_Toc489977013"/>
      <w:bookmarkStart w:id="70" w:name="_Toc25007"/>
      <w:bookmarkStart w:id="71" w:name="_Toc484280796"/>
      <w:bookmarkStart w:id="72" w:name="_Toc4202"/>
      <w:bookmarkStart w:id="73" w:name="_Toc427331112"/>
      <w:r>
        <w:rPr>
          <w:rFonts w:hint="eastAsia"/>
        </w:rPr>
        <w:t xml:space="preserve">3.4.3  </w:t>
      </w:r>
      <w:r>
        <w:t>水土保持措施总体布局评价</w:t>
      </w:r>
      <w:bookmarkEnd w:id="66"/>
      <w:bookmarkEnd w:id="67"/>
      <w:bookmarkEnd w:id="68"/>
      <w:bookmarkEnd w:id="69"/>
      <w:bookmarkEnd w:id="70"/>
      <w:bookmarkEnd w:id="71"/>
      <w:bookmarkEnd w:id="72"/>
      <w:bookmarkEnd w:id="73"/>
    </w:p>
    <w:p>
      <w:pPr>
        <w:spacing w:before="120"/>
        <w:ind w:firstLine="480"/>
      </w:pPr>
      <w:r>
        <w:t>总的来看，在项目建设过程中，项目区水土流失防治分区科学，实施的水土保持措施总体布局较为合理，注重植物措施与工程措施的结合，永久措施与临时措施相结合，采取综合治理措施防治水土流失。项目建设过程中布设了较为完善的排水及绿化措施，在施工过程中实施了完善的临时</w:t>
      </w:r>
      <w:r>
        <w:rPr>
          <w:rFonts w:hint="eastAsia"/>
          <w:lang w:val="en-US" w:eastAsia="zh-CN"/>
        </w:rPr>
        <w:t>遮盖</w:t>
      </w:r>
      <w:r>
        <w:t>措施，水土保持措施体系将治理水土流失与恢复项目建设区植被相结合，统一布局各种水土保持措施，对于治理和控制水土流失，改善生态环境，保证主体工程的安全运行有积极的作用。</w:t>
      </w:r>
    </w:p>
    <w:p>
      <w:pPr>
        <w:spacing w:before="120"/>
        <w:ind w:firstLine="480"/>
      </w:pPr>
      <w:r>
        <w:t>经现场调查，本项目实际实施的各项水土保持措施基本按照方案设计水土保持措施体系设置；本项目各区水土流失防治措施体系完整合理，具有较好的水土保持功能，具备验收条件。</w:t>
      </w:r>
    </w:p>
    <w:p>
      <w:pPr>
        <w:pStyle w:val="2"/>
        <w:spacing w:before="120" w:after="120"/>
        <w:ind w:firstLine="0" w:firstLineChars="0"/>
        <w:rPr>
          <w:b/>
          <w:bCs/>
        </w:rPr>
      </w:pPr>
      <w:bookmarkStart w:id="74" w:name="_Toc515294464"/>
      <w:bookmarkStart w:id="75" w:name="_Toc19028"/>
      <w:r>
        <w:rPr>
          <w:rFonts w:hint="eastAsia"/>
          <w:b/>
          <w:bCs/>
        </w:rPr>
        <w:t xml:space="preserve">3.5  </w:t>
      </w:r>
      <w:r>
        <w:rPr>
          <w:b/>
          <w:bCs/>
        </w:rPr>
        <w:t>水土保持设施完成情况</w:t>
      </w:r>
      <w:bookmarkEnd w:id="74"/>
      <w:bookmarkEnd w:id="75"/>
    </w:p>
    <w:p>
      <w:pPr>
        <w:pStyle w:val="4"/>
        <w:numPr>
          <w:ilvl w:val="2"/>
          <w:numId w:val="0"/>
        </w:numPr>
        <w:spacing w:before="120"/>
      </w:pPr>
      <w:bookmarkStart w:id="76" w:name="_Toc515294465"/>
      <w:bookmarkStart w:id="77" w:name="_Toc496268059"/>
      <w:bookmarkStart w:id="78" w:name="_Toc484280800"/>
      <w:bookmarkStart w:id="79" w:name="_Toc489977017"/>
      <w:r>
        <w:rPr>
          <w:rFonts w:hint="eastAsia"/>
        </w:rPr>
        <w:t xml:space="preserve">3.5.1  </w:t>
      </w:r>
      <w:r>
        <w:t>防治措施实施情况</w:t>
      </w:r>
      <w:bookmarkEnd w:id="76"/>
      <w:bookmarkEnd w:id="77"/>
      <w:bookmarkEnd w:id="78"/>
      <w:bookmarkEnd w:id="79"/>
    </w:p>
    <w:p>
      <w:pPr>
        <w:pStyle w:val="5"/>
        <w:numPr>
          <w:ilvl w:val="3"/>
          <w:numId w:val="0"/>
        </w:numPr>
        <w:spacing w:before="120"/>
        <w:rPr>
          <w:rFonts w:hint="default" w:eastAsia="仿宋_GB2312"/>
          <w:lang w:val="en-US" w:eastAsia="zh-CN"/>
        </w:rPr>
      </w:pPr>
      <w:r>
        <w:rPr>
          <w:rFonts w:hint="eastAsia"/>
        </w:rPr>
        <w:t xml:space="preserve">3.5.1.1  </w:t>
      </w:r>
      <w:r>
        <w:rPr>
          <w:rFonts w:hint="eastAsia"/>
          <w:lang w:val="en-US" w:eastAsia="zh-CN"/>
        </w:rPr>
        <w:t>变电站及进站道路用地区</w:t>
      </w:r>
    </w:p>
    <w:p>
      <w:pPr>
        <w:spacing w:before="120"/>
        <w:ind w:firstLine="480"/>
      </w:pPr>
      <w:r>
        <w:rPr>
          <w:rFonts w:hint="eastAsia" w:ascii="Times New Roman" w:hAnsi="Times New Roman" w:eastAsia="仿宋_GB2312" w:cs="Times New Roman"/>
          <w:color w:val="000000"/>
          <w:kern w:val="2"/>
          <w:sz w:val="24"/>
          <w:szCs w:val="24"/>
          <w:lang w:val="en-US" w:eastAsia="zh-CN" w:bidi="ar"/>
        </w:rPr>
        <w:t>变电站及</w:t>
      </w:r>
      <w:r>
        <w:rPr>
          <w:rFonts w:hint="eastAsia" w:ascii="Times New Roman" w:hAnsi="Times New Roman" w:eastAsia="仿宋_GB2312" w:cs="Times New Roman"/>
          <w:color w:val="000000"/>
          <w:sz w:val="24"/>
          <w:szCs w:val="24"/>
          <w:lang w:val="en-US" w:eastAsia="zh-CN" w:bidi="ar"/>
        </w:rPr>
        <w:t>进站道路</w:t>
      </w:r>
      <w:r>
        <w:rPr>
          <w:rFonts w:hint="eastAsia" w:ascii="Times New Roman" w:hAnsi="Times New Roman" w:eastAsia="仿宋_GB2312" w:cs="Times New Roman"/>
          <w:color w:val="000000"/>
          <w:kern w:val="2"/>
          <w:sz w:val="24"/>
          <w:szCs w:val="24"/>
          <w:lang w:val="en-US" w:eastAsia="zh-CN" w:bidi="ar"/>
        </w:rPr>
        <w:t>用地</w:t>
      </w:r>
      <w:r>
        <w:rPr>
          <w:rFonts w:hint="eastAsia"/>
          <w:lang w:eastAsia="zh-CN"/>
        </w:rPr>
        <w:t>区</w:t>
      </w:r>
      <w:r>
        <w:t>水土保持措施主要</w:t>
      </w:r>
      <w:r>
        <w:rPr>
          <w:rFonts w:hint="eastAsia"/>
          <w:lang w:val="en-US" w:eastAsia="zh-CN"/>
        </w:rPr>
        <w:t>为</w:t>
      </w:r>
      <w:r>
        <w:rPr>
          <w:rFonts w:hint="eastAsia" w:cs="Times New Roman"/>
          <w:lang w:val="en-US" w:eastAsia="zh-CN"/>
        </w:rPr>
        <w:t>排水沟、排水管涵、碎石铺装、撒播植草等</w:t>
      </w:r>
      <w:r>
        <w:rPr>
          <w:rFonts w:cs="Times New Roman"/>
        </w:rPr>
        <w:t>，</w:t>
      </w:r>
      <w:r>
        <w:rPr>
          <w:rFonts w:hint="eastAsia" w:cs="Times New Roman"/>
          <w:lang w:val="en-US" w:eastAsia="zh-CN"/>
        </w:rPr>
        <w:t>以工程措施结合植物措施实施</w:t>
      </w:r>
      <w:r>
        <w:rPr>
          <w:rFonts w:cs="Times New Roman"/>
        </w:rPr>
        <w:t>，防治因</w:t>
      </w:r>
      <w:r>
        <w:rPr>
          <w:rFonts w:hint="eastAsia" w:cs="Times New Roman"/>
          <w:lang w:val="en-US" w:eastAsia="zh-CN"/>
        </w:rPr>
        <w:t>工程建设</w:t>
      </w:r>
      <w:r>
        <w:rPr>
          <w:rFonts w:cs="Times New Roman"/>
        </w:rPr>
        <w:t>造成的水土流失。经统计，本区共</w:t>
      </w:r>
      <w:r>
        <w:rPr>
          <w:rFonts w:hint="eastAsia" w:cs="Times New Roman"/>
          <w:lang w:val="en-US" w:eastAsia="zh-CN"/>
        </w:rPr>
        <w:t>修建排水沟250m（0.4×0.4m），排水管涵152.57m，碎石铺盖725m</w:t>
      </w:r>
      <w:r>
        <w:rPr>
          <w:rFonts w:hint="eastAsia" w:cs="Times New Roman"/>
          <w:vertAlign w:val="superscript"/>
          <w:lang w:val="en-US" w:eastAsia="zh-CN"/>
        </w:rPr>
        <w:t>2</w:t>
      </w:r>
      <w:r>
        <w:rPr>
          <w:rFonts w:hint="eastAsia" w:cs="Times New Roman"/>
          <w:lang w:val="en-US" w:eastAsia="zh-CN"/>
        </w:rPr>
        <w:t>，撒播植草255m</w:t>
      </w:r>
      <w:r>
        <w:rPr>
          <w:rFonts w:hint="eastAsia" w:cs="Times New Roman"/>
          <w:vertAlign w:val="superscript"/>
          <w:lang w:val="en-US" w:eastAsia="zh-CN"/>
        </w:rPr>
        <w:t>2</w:t>
      </w:r>
      <w:r>
        <w:t>。</w:t>
      </w:r>
    </w:p>
    <w:p>
      <w:pPr>
        <w:spacing w:before="120"/>
        <w:ind w:firstLine="480"/>
        <w:rPr>
          <w:rFonts w:hint="eastAsia" w:eastAsia="仿宋_GB2312"/>
          <w:lang w:eastAsia="zh-CN"/>
        </w:rPr>
      </w:pPr>
      <w:r>
        <w:t>建设单位和施工单位非常重视水土保持措施在项目建设及安全运营过程中的重要性，尽可能的采用</w:t>
      </w:r>
      <w:r>
        <w:rPr>
          <w:rFonts w:hint="eastAsia"/>
          <w:lang w:val="en-US" w:eastAsia="zh-CN"/>
        </w:rPr>
        <w:t>适宜的</w:t>
      </w:r>
      <w:r>
        <w:t>水土保持措施对</w:t>
      </w:r>
      <w:r>
        <w:rPr>
          <w:rFonts w:hint="eastAsia"/>
          <w:lang w:val="en-US" w:eastAsia="zh-CN"/>
        </w:rPr>
        <w:t>本</w:t>
      </w:r>
      <w:r>
        <w:rPr>
          <w:rFonts w:hint="eastAsia"/>
          <w:lang w:eastAsia="zh-CN"/>
        </w:rPr>
        <w:t>区</w:t>
      </w:r>
      <w:r>
        <w:t>进行水土流失的预防及治理</w:t>
      </w:r>
      <w:r>
        <w:rPr>
          <w:rFonts w:hint="eastAsia"/>
          <w:lang w:eastAsia="zh-CN"/>
        </w:rPr>
        <w:t>。</w:t>
      </w:r>
    </w:p>
    <w:p>
      <w:pPr>
        <w:pStyle w:val="58"/>
        <w:spacing w:before="120"/>
        <w:rPr>
          <w:color w:val="auto"/>
        </w:rPr>
      </w:pPr>
      <w:r>
        <w:rPr>
          <w:rFonts w:hint="eastAsia"/>
          <w:color w:val="auto"/>
          <w:lang w:val="en-US" w:eastAsia="zh-CN"/>
        </w:rPr>
        <w:t>变电站及进站道路用地</w:t>
      </w:r>
      <w:r>
        <w:rPr>
          <w:rFonts w:hint="eastAsia"/>
          <w:color w:val="auto"/>
          <w:lang w:eastAsia="zh-CN"/>
        </w:rPr>
        <w:t>区</w:t>
      </w:r>
      <w:r>
        <w:rPr>
          <w:color w:val="auto"/>
        </w:rPr>
        <w:t>水土保持措施完成情况对比表</w:t>
      </w:r>
    </w:p>
    <w:p>
      <w:pPr>
        <w:pStyle w:val="13"/>
        <w:keepNext/>
      </w:pPr>
      <w:r>
        <w:t xml:space="preserve">表 </w:t>
      </w:r>
      <w:r>
        <w:rPr>
          <w:rFonts w:hint="eastAsia"/>
        </w:rPr>
        <w:t>3.5</w:t>
      </w:r>
      <w:r>
        <w:noBreakHyphen/>
      </w:r>
      <w:r>
        <w:fldChar w:fldCharType="begin"/>
      </w:r>
      <w:r>
        <w:instrText xml:space="preserve"> SEQ 表 \* ARABIC \s 2 </w:instrText>
      </w:r>
      <w:r>
        <w:fldChar w:fldCharType="separate"/>
      </w:r>
      <w:r>
        <w:t>1</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2138"/>
        <w:gridCol w:w="1173"/>
        <w:gridCol w:w="958"/>
        <w:gridCol w:w="730"/>
        <w:gridCol w:w="745"/>
        <w:gridCol w:w="896"/>
        <w:gridCol w:w="745"/>
        <w:gridCol w:w="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blHeader/>
        </w:trPr>
        <w:tc>
          <w:tcPr>
            <w:tcW w:w="213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防治分区</w:t>
            </w:r>
          </w:p>
        </w:tc>
        <w:tc>
          <w:tcPr>
            <w:tcW w:w="117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措施类型</w:t>
            </w:r>
          </w:p>
        </w:tc>
        <w:tc>
          <w:tcPr>
            <w:tcW w:w="95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措施名称</w:t>
            </w:r>
          </w:p>
        </w:tc>
        <w:tc>
          <w:tcPr>
            <w:tcW w:w="73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单位</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设计量</w:t>
            </w:r>
          </w:p>
        </w:tc>
        <w:tc>
          <w:tcPr>
            <w:tcW w:w="89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实施量</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对比</w:t>
            </w:r>
          </w:p>
        </w:tc>
        <w:tc>
          <w:tcPr>
            <w:tcW w:w="94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实施时间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138" w:type="dxa"/>
            <w:vMerge w:val="restart"/>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default" w:eastAsia="仿宋_GB2312"/>
                <w:color w:val="auto"/>
                <w:sz w:val="18"/>
                <w:lang w:val="en-US" w:eastAsia="zh-CN"/>
              </w:rPr>
              <w:t>变电站及进站道路用地区</w:t>
            </w:r>
          </w:p>
        </w:tc>
        <w:tc>
          <w:tcPr>
            <w:tcW w:w="1173" w:type="dxa"/>
            <w:vMerge w:val="restart"/>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工程措施</w:t>
            </w:r>
          </w:p>
        </w:tc>
        <w:tc>
          <w:tcPr>
            <w:tcW w:w="958"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排水沟</w:t>
            </w:r>
          </w:p>
        </w:tc>
        <w:tc>
          <w:tcPr>
            <w:tcW w:w="730"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m</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250</w:t>
            </w:r>
          </w:p>
        </w:tc>
        <w:tc>
          <w:tcPr>
            <w:tcW w:w="8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250</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val="en-US" w:eastAsia="zh-CN"/>
              </w:rPr>
            </w:pPr>
            <w:r>
              <w:rPr>
                <w:rFonts w:hint="eastAsia"/>
                <w:color w:val="auto"/>
                <w:sz w:val="18"/>
                <w:lang w:val="en-US" w:eastAsia="zh-CN"/>
              </w:rPr>
              <w:t>0</w:t>
            </w:r>
          </w:p>
        </w:tc>
        <w:tc>
          <w:tcPr>
            <w:tcW w:w="943"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rPr>
              <w:t>2020.</w:t>
            </w:r>
            <w:r>
              <w:rPr>
                <w:rFonts w:hint="eastAsia"/>
                <w:color w:val="auto"/>
                <w:sz w:val="18"/>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138"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p>
        </w:tc>
        <w:tc>
          <w:tcPr>
            <w:tcW w:w="1173"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rFonts w:hint="eastAsia"/>
                <w:color w:val="auto"/>
                <w:sz w:val="18"/>
              </w:rPr>
            </w:pPr>
          </w:p>
        </w:tc>
        <w:tc>
          <w:tcPr>
            <w:tcW w:w="958"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排水管涵</w:t>
            </w:r>
          </w:p>
        </w:tc>
        <w:tc>
          <w:tcPr>
            <w:tcW w:w="730"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m</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0</w:t>
            </w:r>
          </w:p>
        </w:tc>
        <w:tc>
          <w:tcPr>
            <w:tcW w:w="8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152.57</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+152.57</w:t>
            </w:r>
          </w:p>
        </w:tc>
        <w:tc>
          <w:tcPr>
            <w:tcW w:w="943"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color w:val="auto"/>
                <w:sz w:val="18"/>
                <w:lang w:val="en-US" w:eastAsia="zh-CN"/>
              </w:rPr>
            </w:pPr>
            <w:r>
              <w:rPr>
                <w:rFonts w:hint="eastAsia"/>
                <w:color w:val="auto"/>
                <w:sz w:val="18"/>
                <w:lang w:val="en-US" w:eastAsia="zh-CN"/>
              </w:rPr>
              <w:t>2019.11</w:t>
            </w:r>
          </w:p>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2020.7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138"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p>
        </w:tc>
        <w:tc>
          <w:tcPr>
            <w:tcW w:w="1173"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rFonts w:hint="eastAsia"/>
                <w:color w:val="auto"/>
                <w:sz w:val="18"/>
              </w:rPr>
            </w:pPr>
          </w:p>
        </w:tc>
        <w:tc>
          <w:tcPr>
            <w:tcW w:w="958"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碎石铺盖</w:t>
            </w:r>
          </w:p>
        </w:tc>
        <w:tc>
          <w:tcPr>
            <w:tcW w:w="730"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m</w:t>
            </w:r>
            <w:r>
              <w:rPr>
                <w:rFonts w:hint="eastAsia"/>
                <w:color w:val="auto"/>
                <w:sz w:val="18"/>
                <w:vertAlign w:val="superscript"/>
                <w:lang w:val="en-US" w:eastAsia="zh-CN"/>
              </w:rPr>
              <w:t>2</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725</w:t>
            </w:r>
          </w:p>
        </w:tc>
        <w:tc>
          <w:tcPr>
            <w:tcW w:w="8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725</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val="en-US" w:eastAsia="zh-CN"/>
              </w:rPr>
            </w:pPr>
            <w:r>
              <w:rPr>
                <w:rFonts w:hint="eastAsia"/>
                <w:color w:val="auto"/>
                <w:sz w:val="18"/>
                <w:lang w:val="en-US" w:eastAsia="zh-CN"/>
              </w:rPr>
              <w:t>0</w:t>
            </w:r>
          </w:p>
        </w:tc>
        <w:tc>
          <w:tcPr>
            <w:tcW w:w="943"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2020.7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138"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p>
        </w:tc>
        <w:tc>
          <w:tcPr>
            <w:tcW w:w="1173"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val="en-US" w:eastAsia="zh-CN"/>
              </w:rPr>
            </w:pPr>
            <w:r>
              <w:rPr>
                <w:rFonts w:hint="eastAsia"/>
                <w:color w:val="auto"/>
                <w:sz w:val="18"/>
                <w:lang w:val="en-US" w:eastAsia="zh-CN"/>
              </w:rPr>
              <w:t>植物措施</w:t>
            </w:r>
          </w:p>
        </w:tc>
        <w:tc>
          <w:tcPr>
            <w:tcW w:w="958"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撒播植草</w:t>
            </w:r>
          </w:p>
        </w:tc>
        <w:tc>
          <w:tcPr>
            <w:tcW w:w="730"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color w:val="auto"/>
                <w:sz w:val="18"/>
                <w:lang w:val="en-US" w:eastAsia="zh-CN"/>
              </w:rPr>
            </w:pPr>
            <w:r>
              <w:rPr>
                <w:rFonts w:hint="eastAsia"/>
                <w:color w:val="auto"/>
                <w:sz w:val="18"/>
                <w:lang w:val="en-US" w:eastAsia="zh-CN"/>
              </w:rPr>
              <w:t>m</w:t>
            </w:r>
            <w:r>
              <w:rPr>
                <w:rFonts w:hint="eastAsia"/>
                <w:color w:val="auto"/>
                <w:sz w:val="18"/>
                <w:vertAlign w:val="superscript"/>
                <w:lang w:val="en-US" w:eastAsia="zh-CN"/>
              </w:rPr>
              <w:t>2</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249</w:t>
            </w:r>
          </w:p>
        </w:tc>
        <w:tc>
          <w:tcPr>
            <w:tcW w:w="8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255</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+6</w:t>
            </w:r>
          </w:p>
        </w:tc>
        <w:tc>
          <w:tcPr>
            <w:tcW w:w="943"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2020.7</w:t>
            </w:r>
          </w:p>
        </w:tc>
      </w:tr>
    </w:tbl>
    <w:p>
      <w:pPr>
        <w:spacing w:before="120"/>
        <w:ind w:firstLine="480"/>
      </w:pPr>
      <w:r>
        <w:t>根据</w:t>
      </w:r>
      <w:r>
        <w:rPr>
          <w:rFonts w:hint="default"/>
          <w:lang w:val="en-US" w:eastAsia="zh-CN"/>
        </w:rPr>
        <w:t>变电站及进站道路用地区</w:t>
      </w:r>
      <w:r>
        <w:t>内的水土保持措施实施情况及效果可知，本区防治水土流失效果较好，实际完成的水土保持措施效果较水保方案中水土保持功能未降低。</w:t>
      </w:r>
    </w:p>
    <w:p>
      <w:pPr>
        <w:pStyle w:val="5"/>
        <w:numPr>
          <w:ilvl w:val="3"/>
          <w:numId w:val="0"/>
        </w:numPr>
        <w:spacing w:before="120"/>
      </w:pPr>
      <w:r>
        <w:rPr>
          <w:rFonts w:hint="eastAsia"/>
        </w:rPr>
        <w:t xml:space="preserve">3.5.1.2  </w:t>
      </w:r>
      <w:r>
        <w:rPr>
          <w:rFonts w:hint="eastAsia"/>
          <w:lang w:val="en-US" w:eastAsia="zh-CN"/>
        </w:rPr>
        <w:t>电缆沟用地</w:t>
      </w:r>
      <w:r>
        <w:t>区</w:t>
      </w:r>
    </w:p>
    <w:p>
      <w:pPr>
        <w:spacing w:before="120"/>
        <w:ind w:firstLine="480"/>
      </w:pPr>
      <w:r>
        <w:rPr>
          <w:rFonts w:hint="eastAsia"/>
          <w:lang w:val="en-US" w:eastAsia="zh-CN"/>
        </w:rPr>
        <w:t>电缆沟用地</w:t>
      </w:r>
      <w:r>
        <w:t>区水土保持措施主要</w:t>
      </w:r>
      <w:r>
        <w:rPr>
          <w:rFonts w:hint="eastAsia"/>
          <w:lang w:val="en-US" w:eastAsia="zh-CN"/>
        </w:rPr>
        <w:t>为</w:t>
      </w:r>
      <w:r>
        <w:t>施工过程中的临时遮盖措施</w:t>
      </w:r>
      <w:r>
        <w:rPr>
          <w:rFonts w:hint="eastAsia"/>
          <w:lang w:eastAsia="zh-CN"/>
        </w:rPr>
        <w:t>，</w:t>
      </w:r>
      <w:r>
        <w:rPr>
          <w:rFonts w:hint="eastAsia"/>
          <w:lang w:val="en-US" w:eastAsia="zh-CN"/>
        </w:rPr>
        <w:t>临时</w:t>
      </w:r>
      <w:r>
        <w:t>措施有效的防治</w:t>
      </w:r>
      <w:r>
        <w:rPr>
          <w:rFonts w:hint="eastAsia"/>
          <w:lang w:val="en-US" w:eastAsia="zh-CN"/>
        </w:rPr>
        <w:t>了本区施工过程中</w:t>
      </w:r>
      <w:r>
        <w:t>的水土流失，发挥</w:t>
      </w:r>
      <w:r>
        <w:rPr>
          <w:rFonts w:hint="eastAsia"/>
          <w:lang w:val="en-US" w:eastAsia="zh-CN"/>
        </w:rPr>
        <w:t>了</w:t>
      </w:r>
      <w:r>
        <w:t>水土保持作用。</w:t>
      </w:r>
    </w:p>
    <w:p>
      <w:pPr>
        <w:pStyle w:val="16"/>
      </w:pPr>
      <w:r>
        <w:rPr>
          <w:rFonts w:hint="eastAsia"/>
          <w:lang w:val="en-US" w:eastAsia="zh-CN"/>
        </w:rPr>
        <w:t>电缆沟用地</w:t>
      </w:r>
      <w:r>
        <w:t>区水土保持措施完成情况对比表</w:t>
      </w:r>
    </w:p>
    <w:p>
      <w:pPr>
        <w:pStyle w:val="13"/>
        <w:keepNext/>
      </w:pPr>
      <w:r>
        <w:t xml:space="preserve">表 </w:t>
      </w:r>
      <w:r>
        <w:rPr>
          <w:rFonts w:hint="eastAsia"/>
        </w:rPr>
        <w:t>3.5</w:t>
      </w:r>
      <w:r>
        <w:noBreakHyphen/>
      </w:r>
      <w:r>
        <w:fldChar w:fldCharType="begin"/>
      </w:r>
      <w:r>
        <w:instrText xml:space="preserve"> SEQ 表 \* ARABIC \s 2 </w:instrText>
      </w:r>
      <w:r>
        <w:fldChar w:fldCharType="separate"/>
      </w:r>
      <w:r>
        <w:t>2</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2138"/>
        <w:gridCol w:w="1173"/>
        <w:gridCol w:w="958"/>
        <w:gridCol w:w="730"/>
        <w:gridCol w:w="745"/>
        <w:gridCol w:w="896"/>
        <w:gridCol w:w="745"/>
        <w:gridCol w:w="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blHeader/>
        </w:trPr>
        <w:tc>
          <w:tcPr>
            <w:tcW w:w="213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防治分区</w:t>
            </w:r>
          </w:p>
        </w:tc>
        <w:tc>
          <w:tcPr>
            <w:tcW w:w="117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措施类型</w:t>
            </w:r>
          </w:p>
        </w:tc>
        <w:tc>
          <w:tcPr>
            <w:tcW w:w="95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措施名称</w:t>
            </w:r>
          </w:p>
        </w:tc>
        <w:tc>
          <w:tcPr>
            <w:tcW w:w="73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单位</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设计量</w:t>
            </w:r>
          </w:p>
        </w:tc>
        <w:tc>
          <w:tcPr>
            <w:tcW w:w="89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实施量</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对比</w:t>
            </w:r>
          </w:p>
        </w:tc>
        <w:tc>
          <w:tcPr>
            <w:tcW w:w="94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实施时间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13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lang w:val="en-US" w:eastAsia="zh-CN"/>
              </w:rPr>
              <w:t>电缆沟用地</w:t>
            </w:r>
            <w:r>
              <w:rPr>
                <w:rFonts w:hint="eastAsia"/>
                <w:color w:val="auto"/>
                <w:sz w:val="18"/>
              </w:rPr>
              <w:t>区</w:t>
            </w:r>
          </w:p>
        </w:tc>
        <w:tc>
          <w:tcPr>
            <w:tcW w:w="1173"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olor w:val="auto"/>
                <w:sz w:val="18"/>
              </w:rPr>
              <w:t>临时措施</w:t>
            </w:r>
          </w:p>
        </w:tc>
        <w:tc>
          <w:tcPr>
            <w:tcW w:w="958"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olor w:val="auto"/>
                <w:sz w:val="18"/>
              </w:rPr>
              <w:t>防雨布</w:t>
            </w:r>
          </w:p>
        </w:tc>
        <w:tc>
          <w:tcPr>
            <w:tcW w:w="730"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olor w:val="auto"/>
                <w:sz w:val="18"/>
              </w:rPr>
              <w:t>m</w:t>
            </w:r>
            <w:r>
              <w:rPr>
                <w:rFonts w:hint="eastAsia"/>
                <w:color w:val="auto"/>
                <w:sz w:val="18"/>
                <w:vertAlign w:val="superscript"/>
              </w:rPr>
              <w:t>2</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color w:val="auto"/>
                <w:sz w:val="18"/>
                <w:lang w:val="en-US" w:eastAsia="zh-CN"/>
              </w:rPr>
            </w:pPr>
            <w:r>
              <w:rPr>
                <w:rFonts w:hint="eastAsia"/>
                <w:color w:val="auto"/>
                <w:sz w:val="18"/>
                <w:lang w:val="en-US" w:eastAsia="zh-CN"/>
              </w:rPr>
              <w:t>100</w:t>
            </w:r>
          </w:p>
        </w:tc>
        <w:tc>
          <w:tcPr>
            <w:tcW w:w="89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eastAsia="仿宋_GB2312"/>
                <w:color w:val="auto"/>
                <w:sz w:val="18"/>
                <w:lang w:val="en-US" w:eastAsia="zh-CN"/>
              </w:rPr>
            </w:pPr>
            <w:r>
              <w:rPr>
                <w:rFonts w:hint="eastAsia"/>
                <w:color w:val="auto"/>
                <w:sz w:val="18"/>
                <w:lang w:val="en-US" w:eastAsia="zh-CN"/>
              </w:rPr>
              <w:t>150</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eastAsia="仿宋_GB2312"/>
                <w:color w:val="auto"/>
                <w:sz w:val="18"/>
                <w:lang w:val="en-US" w:eastAsia="zh-CN"/>
              </w:rPr>
            </w:pPr>
            <w:r>
              <w:rPr>
                <w:rFonts w:hint="eastAsia"/>
                <w:color w:val="auto"/>
                <w:sz w:val="18"/>
                <w:lang w:val="en-US" w:eastAsia="zh-CN"/>
              </w:rPr>
              <w:t>+50</w:t>
            </w:r>
          </w:p>
        </w:tc>
        <w:tc>
          <w:tcPr>
            <w:tcW w:w="943"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olor w:val="auto"/>
                <w:sz w:val="18"/>
                <w:lang w:val="en-US" w:eastAsia="zh-CN"/>
              </w:rPr>
              <w:t>2020.1-4</w:t>
            </w:r>
          </w:p>
        </w:tc>
      </w:tr>
    </w:tbl>
    <w:p>
      <w:pPr>
        <w:spacing w:before="120"/>
        <w:ind w:firstLine="480"/>
        <w:rPr>
          <w:rFonts w:hint="default" w:eastAsia="仿宋_GB2312"/>
          <w:lang w:val="en-US" w:eastAsia="zh-CN"/>
        </w:rPr>
      </w:pPr>
      <w:r>
        <w:t>根据现场实际，</w:t>
      </w:r>
      <w:r>
        <w:rPr>
          <w:rFonts w:hint="eastAsia"/>
          <w:lang w:val="en-US" w:eastAsia="zh-CN"/>
        </w:rPr>
        <w:t>电缆沟用地</w:t>
      </w:r>
      <w:r>
        <w:t>区采取的水土保持措施及工程量较水土保持方案</w:t>
      </w:r>
      <w:r>
        <w:rPr>
          <w:rFonts w:hint="eastAsia"/>
          <w:lang w:val="en-US" w:eastAsia="zh-CN"/>
        </w:rPr>
        <w:t>有所增加</w:t>
      </w:r>
      <w:r>
        <w:t>，增加原因主要是因为</w:t>
      </w:r>
      <w:r>
        <w:rPr>
          <w:rFonts w:hint="eastAsia"/>
          <w:lang w:val="en-US" w:eastAsia="zh-CN"/>
        </w:rPr>
        <w:t>项目区为高寒地区，植物生长条件较为恶劣，施工单位加大了草籽量，减少了灌木栽种，绿化面积未能达到方案设计面积但超过了防治标准，效果也不错。</w:t>
      </w:r>
    </w:p>
    <w:p>
      <w:pPr>
        <w:spacing w:before="120"/>
        <w:ind w:firstLine="480"/>
      </w:pPr>
      <w:r>
        <w:t>根据</w:t>
      </w:r>
      <w:r>
        <w:rPr>
          <w:rFonts w:hint="eastAsia"/>
          <w:lang w:val="en-US" w:eastAsia="zh-CN"/>
        </w:rPr>
        <w:t>电缆沟用地</w:t>
      </w:r>
      <w:r>
        <w:t>区水土保持措施实施情况及效果可知，本区</w:t>
      </w:r>
      <w:r>
        <w:rPr>
          <w:rFonts w:hint="eastAsia"/>
          <w:lang w:val="en-US" w:eastAsia="zh-CN"/>
        </w:rPr>
        <w:t>施工期</w:t>
      </w:r>
      <w:r>
        <w:t>采取了临时措施，</w:t>
      </w:r>
      <w:r>
        <w:rPr>
          <w:rFonts w:hint="eastAsia"/>
          <w:lang w:val="en-US" w:eastAsia="zh-CN"/>
        </w:rPr>
        <w:t>水保</w:t>
      </w:r>
      <w:r>
        <w:t>防治措施体系完善</w:t>
      </w:r>
      <w:r>
        <w:rPr>
          <w:rFonts w:hint="eastAsia"/>
          <w:lang w:eastAsia="zh-CN"/>
        </w:rPr>
        <w:t>，</w:t>
      </w:r>
      <w:r>
        <w:t>防治水土流失效果较好，实际完成的水土保持措施效果较水保方案中水土保持功能未降低。</w:t>
      </w:r>
    </w:p>
    <w:p>
      <w:pPr>
        <w:pStyle w:val="4"/>
        <w:numPr>
          <w:ilvl w:val="2"/>
          <w:numId w:val="0"/>
        </w:numPr>
        <w:spacing w:before="120"/>
      </w:pPr>
      <w:bookmarkStart w:id="80" w:name="_Toc484280803"/>
      <w:bookmarkStart w:id="81" w:name="_Toc489977020"/>
      <w:bookmarkStart w:id="82" w:name="_Toc496268064"/>
      <w:bookmarkStart w:id="83" w:name="_Toc515294470"/>
      <w:r>
        <w:rPr>
          <w:rFonts w:hint="eastAsia"/>
        </w:rPr>
        <w:t>3.5.2</w:t>
      </w:r>
      <w:r>
        <w:rPr>
          <w:rFonts w:hint="eastAsia"/>
          <w:lang w:val="en-US" w:eastAsia="zh-CN"/>
        </w:rPr>
        <w:t xml:space="preserve">  </w:t>
      </w:r>
      <w:r>
        <w:t>水土保持设施工程量完成情况</w:t>
      </w:r>
      <w:bookmarkEnd w:id="80"/>
      <w:bookmarkEnd w:id="81"/>
      <w:bookmarkEnd w:id="82"/>
      <w:bookmarkEnd w:id="83"/>
    </w:p>
    <w:p>
      <w:pPr>
        <w:spacing w:before="120"/>
        <w:ind w:firstLine="480"/>
      </w:pPr>
      <w:r>
        <w:t>通过查阅项目</w:t>
      </w:r>
      <w:r>
        <w:rPr>
          <w:rFonts w:hint="eastAsia"/>
          <w:lang w:eastAsia="zh-CN"/>
        </w:rPr>
        <w:t>完工</w:t>
      </w:r>
      <w:r>
        <w:t>资料以及报告编制组的现场查勘情况、复核内业资料，</w:t>
      </w:r>
      <w:r>
        <w:rPr>
          <w:rFonts w:hint="eastAsia"/>
          <w:lang w:eastAsia="zh-CN"/>
        </w:rPr>
        <w:t>甘孜康定新都桥220kV临时变35kV配套工程</w:t>
      </w:r>
      <w:r>
        <w:t>水土保持设施工程量情况见表3.5-3。</w:t>
      </w:r>
    </w:p>
    <w:p>
      <w:pPr>
        <w:pStyle w:val="58"/>
        <w:spacing w:before="120"/>
        <w:rPr>
          <w:color w:val="auto"/>
        </w:rPr>
      </w:pPr>
      <w:r>
        <w:rPr>
          <w:color w:val="auto"/>
        </w:rPr>
        <w:t>水土保持设施工程量完成</w:t>
      </w:r>
      <w:r>
        <w:rPr>
          <w:rFonts w:hint="eastAsia"/>
          <w:color w:val="auto"/>
        </w:rPr>
        <w:t>情况对照</w:t>
      </w:r>
      <w:r>
        <w:rPr>
          <w:color w:val="auto"/>
        </w:rPr>
        <w:t>表</w:t>
      </w:r>
    </w:p>
    <w:p>
      <w:pPr>
        <w:pStyle w:val="13"/>
        <w:keepNext/>
      </w:pPr>
      <w:r>
        <w:t xml:space="preserve">表 </w:t>
      </w:r>
      <w:r>
        <w:rPr>
          <w:rFonts w:hint="eastAsia"/>
        </w:rPr>
        <w:t>3.5</w:t>
      </w:r>
      <w:r>
        <w:noBreakHyphen/>
      </w:r>
      <w:r>
        <w:fldChar w:fldCharType="begin"/>
      </w:r>
      <w:r>
        <w:instrText xml:space="preserve"> SEQ 表 \* ARABIC \s 2 </w:instrText>
      </w:r>
      <w:r>
        <w:fldChar w:fldCharType="separate"/>
      </w:r>
      <w:r>
        <w:t>3</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2138"/>
        <w:gridCol w:w="1173"/>
        <w:gridCol w:w="958"/>
        <w:gridCol w:w="730"/>
        <w:gridCol w:w="745"/>
        <w:gridCol w:w="896"/>
        <w:gridCol w:w="745"/>
        <w:gridCol w:w="9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blHeader/>
        </w:trPr>
        <w:tc>
          <w:tcPr>
            <w:tcW w:w="213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防治分区</w:t>
            </w:r>
          </w:p>
        </w:tc>
        <w:tc>
          <w:tcPr>
            <w:tcW w:w="117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措施类型</w:t>
            </w:r>
          </w:p>
        </w:tc>
        <w:tc>
          <w:tcPr>
            <w:tcW w:w="95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措施名称</w:t>
            </w:r>
          </w:p>
        </w:tc>
        <w:tc>
          <w:tcPr>
            <w:tcW w:w="73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单位</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设计量</w:t>
            </w:r>
          </w:p>
        </w:tc>
        <w:tc>
          <w:tcPr>
            <w:tcW w:w="89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实施量</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对比</w:t>
            </w:r>
          </w:p>
        </w:tc>
        <w:tc>
          <w:tcPr>
            <w:tcW w:w="94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实施时间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138" w:type="dxa"/>
            <w:vMerge w:val="restart"/>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default" w:eastAsia="仿宋_GB2312"/>
                <w:color w:val="auto"/>
                <w:sz w:val="18"/>
                <w:lang w:val="en-US" w:eastAsia="zh-CN"/>
              </w:rPr>
              <w:t>变电站及进站道路用地区</w:t>
            </w:r>
          </w:p>
        </w:tc>
        <w:tc>
          <w:tcPr>
            <w:tcW w:w="1173" w:type="dxa"/>
            <w:vMerge w:val="restart"/>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工程措施</w:t>
            </w:r>
          </w:p>
        </w:tc>
        <w:tc>
          <w:tcPr>
            <w:tcW w:w="958"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olor w:val="auto"/>
                <w:sz w:val="18"/>
                <w:lang w:val="en-US" w:eastAsia="zh-CN"/>
              </w:rPr>
              <w:t>排水沟</w:t>
            </w:r>
          </w:p>
        </w:tc>
        <w:tc>
          <w:tcPr>
            <w:tcW w:w="730"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olor w:val="auto"/>
                <w:sz w:val="18"/>
                <w:lang w:val="en-US" w:eastAsia="zh-CN"/>
              </w:rPr>
              <w:t>m</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eastAsia="仿宋_GB2312"/>
                <w:color w:val="auto"/>
                <w:sz w:val="18"/>
                <w:lang w:val="en-US" w:eastAsia="zh-CN"/>
              </w:rPr>
            </w:pPr>
            <w:r>
              <w:rPr>
                <w:rFonts w:hint="eastAsia"/>
                <w:color w:val="auto"/>
                <w:sz w:val="18"/>
                <w:lang w:val="en-US" w:eastAsia="zh-CN"/>
              </w:rPr>
              <w:t>250</w:t>
            </w:r>
          </w:p>
        </w:tc>
        <w:tc>
          <w:tcPr>
            <w:tcW w:w="89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eastAsia="仿宋_GB2312"/>
                <w:color w:val="auto"/>
                <w:sz w:val="18"/>
                <w:lang w:val="en-US" w:eastAsia="zh-CN"/>
              </w:rPr>
            </w:pPr>
            <w:r>
              <w:rPr>
                <w:rFonts w:hint="eastAsia"/>
                <w:color w:val="auto"/>
                <w:sz w:val="18"/>
                <w:lang w:val="en-US" w:eastAsia="zh-CN"/>
              </w:rPr>
              <w:t>250</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olor w:val="auto"/>
                <w:sz w:val="18"/>
                <w:lang w:val="en-US" w:eastAsia="zh-CN"/>
              </w:rPr>
              <w:t>0</w:t>
            </w:r>
          </w:p>
        </w:tc>
        <w:tc>
          <w:tcPr>
            <w:tcW w:w="943"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olor w:val="auto"/>
                <w:sz w:val="18"/>
              </w:rPr>
              <w:t>2020.</w:t>
            </w:r>
            <w:r>
              <w:rPr>
                <w:rFonts w:hint="eastAsia"/>
                <w:color w:val="auto"/>
                <w:sz w:val="18"/>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138"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p>
        </w:tc>
        <w:tc>
          <w:tcPr>
            <w:tcW w:w="1173"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rFonts w:hint="eastAsia"/>
                <w:color w:val="auto"/>
                <w:sz w:val="18"/>
              </w:rPr>
            </w:pPr>
          </w:p>
        </w:tc>
        <w:tc>
          <w:tcPr>
            <w:tcW w:w="958"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olor w:val="auto"/>
                <w:sz w:val="18"/>
                <w:lang w:val="en-US" w:eastAsia="zh-CN"/>
              </w:rPr>
              <w:t>排水管涵</w:t>
            </w:r>
          </w:p>
        </w:tc>
        <w:tc>
          <w:tcPr>
            <w:tcW w:w="730"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olor w:val="auto"/>
                <w:sz w:val="18"/>
                <w:lang w:val="en-US" w:eastAsia="zh-CN"/>
              </w:rPr>
              <w:t>m</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color w:val="auto"/>
                <w:sz w:val="18"/>
                <w:lang w:val="en-US" w:eastAsia="zh-CN"/>
              </w:rPr>
            </w:pPr>
            <w:r>
              <w:rPr>
                <w:rFonts w:hint="eastAsia"/>
                <w:color w:val="auto"/>
                <w:sz w:val="18"/>
                <w:lang w:val="en-US" w:eastAsia="zh-CN"/>
              </w:rPr>
              <w:t>0</w:t>
            </w:r>
          </w:p>
        </w:tc>
        <w:tc>
          <w:tcPr>
            <w:tcW w:w="89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color w:val="auto"/>
                <w:sz w:val="18"/>
                <w:lang w:val="en-US" w:eastAsia="zh-CN"/>
              </w:rPr>
            </w:pPr>
            <w:r>
              <w:rPr>
                <w:rFonts w:hint="eastAsia"/>
                <w:color w:val="auto"/>
                <w:sz w:val="18"/>
                <w:lang w:val="en-US" w:eastAsia="zh-CN"/>
              </w:rPr>
              <w:t>152.57</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olor w:val="auto"/>
                <w:sz w:val="18"/>
                <w:lang w:val="en-US" w:eastAsia="zh-CN"/>
              </w:rPr>
              <w:t>+152.57</w:t>
            </w:r>
          </w:p>
        </w:tc>
        <w:tc>
          <w:tcPr>
            <w:tcW w:w="943"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color w:val="auto"/>
                <w:sz w:val="18"/>
                <w:lang w:val="en-US" w:eastAsia="zh-CN"/>
              </w:rPr>
            </w:pPr>
            <w:r>
              <w:rPr>
                <w:rFonts w:hint="eastAsia"/>
                <w:color w:val="auto"/>
                <w:sz w:val="18"/>
                <w:lang w:val="en-US" w:eastAsia="zh-CN"/>
              </w:rPr>
              <w:t>2019.11</w:t>
            </w:r>
          </w:p>
          <w:p>
            <w:pPr>
              <w:pStyle w:val="53"/>
              <w:keepNext w:val="0"/>
              <w:keepLines w:val="0"/>
              <w:widowControl/>
              <w:suppressLineNumbers w:val="0"/>
              <w:spacing w:before="0" w:beforeAutospacing="0" w:after="0" w:afterAutospacing="0"/>
              <w:ind w:left="0" w:right="0" w:firstLine="0" w:firstLineChars="0"/>
              <w:rPr>
                <w:rFonts w:hint="eastAsia"/>
                <w:color w:val="auto"/>
                <w:sz w:val="18"/>
              </w:rPr>
            </w:pPr>
            <w:r>
              <w:rPr>
                <w:rFonts w:hint="eastAsia"/>
                <w:color w:val="auto"/>
                <w:sz w:val="18"/>
                <w:lang w:val="en-US" w:eastAsia="zh-CN"/>
              </w:rPr>
              <w:t>2020.7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138"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p>
        </w:tc>
        <w:tc>
          <w:tcPr>
            <w:tcW w:w="1173"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rFonts w:hint="eastAsia"/>
                <w:color w:val="auto"/>
                <w:sz w:val="18"/>
              </w:rPr>
            </w:pPr>
          </w:p>
        </w:tc>
        <w:tc>
          <w:tcPr>
            <w:tcW w:w="958"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olor w:val="auto"/>
                <w:sz w:val="18"/>
                <w:lang w:val="en-US" w:eastAsia="zh-CN"/>
              </w:rPr>
              <w:t>碎石铺盖</w:t>
            </w:r>
          </w:p>
        </w:tc>
        <w:tc>
          <w:tcPr>
            <w:tcW w:w="730"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olor w:val="auto"/>
                <w:sz w:val="18"/>
                <w:lang w:val="en-US" w:eastAsia="zh-CN"/>
              </w:rPr>
              <w:t>m</w:t>
            </w:r>
            <w:r>
              <w:rPr>
                <w:rFonts w:hint="eastAsia"/>
                <w:color w:val="auto"/>
                <w:sz w:val="18"/>
                <w:vertAlign w:val="superscript"/>
                <w:lang w:val="en-US" w:eastAsia="zh-CN"/>
              </w:rPr>
              <w:t>2</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color w:val="auto"/>
                <w:sz w:val="18"/>
                <w:lang w:val="en-US" w:eastAsia="zh-CN"/>
              </w:rPr>
            </w:pPr>
            <w:r>
              <w:rPr>
                <w:rFonts w:hint="eastAsia"/>
                <w:color w:val="auto"/>
                <w:sz w:val="18"/>
                <w:lang w:val="en-US" w:eastAsia="zh-CN"/>
              </w:rPr>
              <w:t>725</w:t>
            </w:r>
          </w:p>
        </w:tc>
        <w:tc>
          <w:tcPr>
            <w:tcW w:w="89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color w:val="auto"/>
                <w:sz w:val="18"/>
                <w:lang w:val="en-US" w:eastAsia="zh-CN"/>
              </w:rPr>
            </w:pPr>
            <w:r>
              <w:rPr>
                <w:rFonts w:hint="eastAsia"/>
                <w:color w:val="auto"/>
                <w:sz w:val="18"/>
                <w:lang w:val="en-US" w:eastAsia="zh-CN"/>
              </w:rPr>
              <w:t>725</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olor w:val="auto"/>
                <w:sz w:val="18"/>
                <w:lang w:val="en-US" w:eastAsia="zh-CN"/>
              </w:rPr>
              <w:t>0</w:t>
            </w:r>
          </w:p>
        </w:tc>
        <w:tc>
          <w:tcPr>
            <w:tcW w:w="943"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color w:val="auto"/>
                <w:sz w:val="18"/>
              </w:rPr>
            </w:pPr>
            <w:r>
              <w:rPr>
                <w:rFonts w:hint="eastAsia"/>
                <w:color w:val="auto"/>
                <w:sz w:val="18"/>
                <w:lang w:val="en-US" w:eastAsia="zh-CN"/>
              </w:rPr>
              <w:t>2020.7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138"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p>
        </w:tc>
        <w:tc>
          <w:tcPr>
            <w:tcW w:w="1173"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val="en-US" w:eastAsia="zh-CN"/>
              </w:rPr>
            </w:pPr>
            <w:r>
              <w:rPr>
                <w:rFonts w:hint="eastAsia"/>
                <w:color w:val="auto"/>
                <w:sz w:val="18"/>
                <w:lang w:val="en-US" w:eastAsia="zh-CN"/>
              </w:rPr>
              <w:t>植物措施</w:t>
            </w:r>
          </w:p>
        </w:tc>
        <w:tc>
          <w:tcPr>
            <w:tcW w:w="958"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撒播植草</w:t>
            </w:r>
          </w:p>
        </w:tc>
        <w:tc>
          <w:tcPr>
            <w:tcW w:w="730"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m</w:t>
            </w:r>
            <w:r>
              <w:rPr>
                <w:rFonts w:hint="eastAsia"/>
                <w:color w:val="auto"/>
                <w:sz w:val="18"/>
                <w:vertAlign w:val="superscript"/>
                <w:lang w:val="en-US" w:eastAsia="zh-CN"/>
              </w:rPr>
              <w:t>2</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249</w:t>
            </w:r>
          </w:p>
        </w:tc>
        <w:tc>
          <w:tcPr>
            <w:tcW w:w="89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255</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+6</w:t>
            </w:r>
          </w:p>
        </w:tc>
        <w:tc>
          <w:tcPr>
            <w:tcW w:w="943"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2020.7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138"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电缆沟用地</w:t>
            </w:r>
            <w:r>
              <w:rPr>
                <w:rFonts w:hint="eastAsia"/>
                <w:color w:val="auto"/>
                <w:sz w:val="18"/>
              </w:rPr>
              <w:t>区</w:t>
            </w:r>
          </w:p>
        </w:tc>
        <w:tc>
          <w:tcPr>
            <w:tcW w:w="1173"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rPr>
              <w:t>临时措施</w:t>
            </w:r>
          </w:p>
        </w:tc>
        <w:tc>
          <w:tcPr>
            <w:tcW w:w="958"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rPr>
              <w:t>防雨布</w:t>
            </w:r>
          </w:p>
        </w:tc>
        <w:tc>
          <w:tcPr>
            <w:tcW w:w="730"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rPr>
              <w:t>m</w:t>
            </w:r>
            <w:r>
              <w:rPr>
                <w:rFonts w:hint="eastAsia"/>
                <w:color w:val="auto"/>
                <w:sz w:val="18"/>
                <w:vertAlign w:val="superscript"/>
              </w:rPr>
              <w:t>2</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100</w:t>
            </w:r>
          </w:p>
        </w:tc>
        <w:tc>
          <w:tcPr>
            <w:tcW w:w="89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150</w:t>
            </w:r>
          </w:p>
        </w:tc>
        <w:tc>
          <w:tcPr>
            <w:tcW w:w="745"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+50</w:t>
            </w:r>
          </w:p>
        </w:tc>
        <w:tc>
          <w:tcPr>
            <w:tcW w:w="943"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2020.1-4</w:t>
            </w:r>
          </w:p>
        </w:tc>
      </w:tr>
    </w:tbl>
    <w:p>
      <w:pPr>
        <w:spacing w:before="120"/>
        <w:ind w:firstLine="480"/>
      </w:pPr>
      <w:r>
        <w:t>综上，本工程基本按照水保方案及批复文件的要求实施了工程防护措施、植物措施和临时措施，各防治分区防治措施体系完整，部分防治分区根据现场施工情况进行了部分调整，水土流失防治分区和水土保持设施总体布局合理。目前，工程防治区内未发生严重水土流失情况，工程措施防护基本到位。因项目区地势及气候条件原因，植被恢复</w:t>
      </w:r>
      <w:r>
        <w:rPr>
          <w:rFonts w:hint="eastAsia"/>
        </w:rPr>
        <w:t>效果一般</w:t>
      </w:r>
      <w:r>
        <w:t>，长势情况不佳</w:t>
      </w:r>
      <w:r>
        <w:rPr>
          <w:rFonts w:hint="eastAsia"/>
        </w:rPr>
        <w:t>，后期应加强补植补种</w:t>
      </w:r>
      <w:r>
        <w:t>；工程建设引起的水土流失得到了较好的控制，生态环境有良好的改善。总体上来看，本项目实际完成的水土保持措施较水保方案中水土保持措施相比水土保持功能有所提高。</w:t>
      </w:r>
    </w:p>
    <w:p>
      <w:pPr>
        <w:pStyle w:val="2"/>
        <w:spacing w:before="120" w:after="120"/>
        <w:ind w:firstLine="0" w:firstLineChars="0"/>
        <w:rPr>
          <w:b/>
          <w:bCs/>
        </w:rPr>
      </w:pPr>
      <w:bookmarkStart w:id="84" w:name="_Toc515873328"/>
      <w:bookmarkStart w:id="85" w:name="_Toc22033"/>
      <w:r>
        <w:rPr>
          <w:rFonts w:hint="eastAsia"/>
          <w:b/>
          <w:bCs/>
        </w:rPr>
        <w:t xml:space="preserve">3.6  </w:t>
      </w:r>
      <w:r>
        <w:rPr>
          <w:b/>
          <w:bCs/>
        </w:rPr>
        <w:t>水土保持投资完成情况</w:t>
      </w:r>
      <w:bookmarkEnd w:id="84"/>
      <w:bookmarkEnd w:id="85"/>
    </w:p>
    <w:p>
      <w:pPr>
        <w:pStyle w:val="4"/>
        <w:numPr>
          <w:ilvl w:val="2"/>
          <w:numId w:val="0"/>
        </w:numPr>
        <w:spacing w:before="120"/>
      </w:pPr>
      <w:bookmarkStart w:id="86" w:name="_Toc484280824"/>
      <w:bookmarkStart w:id="87" w:name="_Toc515873329"/>
      <w:bookmarkStart w:id="88" w:name="_Toc21202"/>
      <w:bookmarkStart w:id="89" w:name="_Toc489977041"/>
      <w:bookmarkStart w:id="90" w:name="_Toc28908"/>
      <w:bookmarkStart w:id="91" w:name="_Toc14925"/>
      <w:bookmarkStart w:id="92" w:name="_Toc496268085"/>
      <w:r>
        <w:rPr>
          <w:rFonts w:hint="eastAsia"/>
        </w:rPr>
        <w:t xml:space="preserve">3.6.1  </w:t>
      </w:r>
      <w:r>
        <w:t>工程水土保持方案批复投资</w:t>
      </w:r>
      <w:bookmarkEnd w:id="86"/>
      <w:bookmarkEnd w:id="87"/>
      <w:bookmarkEnd w:id="88"/>
      <w:bookmarkEnd w:id="89"/>
      <w:bookmarkEnd w:id="90"/>
      <w:bookmarkEnd w:id="91"/>
      <w:bookmarkEnd w:id="92"/>
    </w:p>
    <w:p>
      <w:pPr>
        <w:spacing w:before="120"/>
        <w:ind w:firstLine="480"/>
      </w:pPr>
      <w:r>
        <w:t>根据水土保持方案报告表和《</w:t>
      </w:r>
      <w:r>
        <w:rPr>
          <w:rFonts w:hint="eastAsia"/>
          <w:lang w:val="en-US" w:eastAsia="zh-CN"/>
        </w:rPr>
        <w:t>康定市生产建设项目</w:t>
      </w:r>
      <w:r>
        <w:t>水土保持方案报告表</w:t>
      </w:r>
      <w:r>
        <w:rPr>
          <w:rFonts w:hint="eastAsia"/>
          <w:lang w:val="en-US" w:eastAsia="zh-CN"/>
        </w:rPr>
        <w:t>行政许可决定书</w:t>
      </w:r>
      <w:r>
        <w:t>》（</w:t>
      </w:r>
      <w:r>
        <w:rPr>
          <w:rFonts w:hint="eastAsia"/>
          <w:lang w:val="en-US" w:eastAsia="zh-CN"/>
        </w:rPr>
        <w:t>康水利</w:t>
      </w:r>
      <w:r>
        <w:t>[20</w:t>
      </w:r>
      <w:r>
        <w:rPr>
          <w:rFonts w:hint="eastAsia"/>
          <w:lang w:val="en-US" w:eastAsia="zh-CN"/>
        </w:rPr>
        <w:t>20</w:t>
      </w:r>
      <w:r>
        <w:t>]</w:t>
      </w:r>
      <w:r>
        <w:rPr>
          <w:rFonts w:hint="eastAsia"/>
          <w:lang w:val="en-US" w:eastAsia="zh-CN"/>
        </w:rPr>
        <w:t>102</w:t>
      </w:r>
      <w:r>
        <w:t>号），</w:t>
      </w:r>
      <w:r>
        <w:rPr>
          <w:rFonts w:hint="eastAsia"/>
          <w:lang w:eastAsia="zh-CN"/>
        </w:rPr>
        <w:t>甘孜康定新都桥220kV临时变35kV配套工程</w:t>
      </w:r>
      <w:r>
        <w:t>水土保持</w:t>
      </w:r>
      <w:r>
        <w:rPr>
          <w:rFonts w:hint="eastAsia"/>
          <w:lang w:val="en-US" w:eastAsia="zh-CN"/>
        </w:rPr>
        <w:t>概</w:t>
      </w:r>
      <w:r>
        <w:t>算总投资为</w:t>
      </w:r>
      <w:r>
        <w:rPr>
          <w:rFonts w:hint="eastAsia" w:cs="Times New Roman"/>
          <w:szCs w:val="24"/>
          <w:lang w:val="en-US" w:eastAsia="zh-CN" w:bidi="ar"/>
        </w:rPr>
        <w:t>25.52</w:t>
      </w:r>
      <w:r>
        <w:rPr>
          <w:rFonts w:cs="Times New Roman"/>
          <w:szCs w:val="24"/>
        </w:rPr>
        <w:t>万元。其中，主体工程设计中水土保持措施投资为</w:t>
      </w:r>
      <w:r>
        <w:rPr>
          <w:rFonts w:hint="eastAsia" w:cs="Times New Roman"/>
          <w:szCs w:val="24"/>
          <w:lang w:val="en-US" w:eastAsia="zh-CN" w:bidi="ar"/>
        </w:rPr>
        <w:t>15.80</w:t>
      </w:r>
      <w:r>
        <w:rPr>
          <w:rFonts w:cs="Times New Roman"/>
          <w:szCs w:val="24"/>
        </w:rPr>
        <w:t>万元，新增水土保持专项投资为</w:t>
      </w:r>
      <w:r>
        <w:rPr>
          <w:rFonts w:hint="eastAsia" w:cs="Times New Roman"/>
          <w:szCs w:val="24"/>
          <w:lang w:val="en-US" w:eastAsia="zh-CN" w:bidi="ar"/>
        </w:rPr>
        <w:t>9.72</w:t>
      </w:r>
      <w:r>
        <w:rPr>
          <w:rFonts w:cs="Times New Roman"/>
          <w:szCs w:val="24"/>
        </w:rPr>
        <w:t>万元。新增水保专项投资中，</w:t>
      </w:r>
      <w:r>
        <w:rPr>
          <w:rFonts w:hint="eastAsia" w:ascii="Times New Roman" w:hAnsi="Times New Roman" w:eastAsia="仿宋_GB2312" w:cs="Times New Roman"/>
          <w:color w:val="000000"/>
          <w:kern w:val="24"/>
          <w:sz w:val="24"/>
          <w:szCs w:val="24"/>
          <w:lang w:val="en-US" w:eastAsia="zh-CN" w:bidi="ar"/>
        </w:rPr>
        <w:t>植物措施费</w:t>
      </w:r>
      <w:r>
        <w:rPr>
          <w:rFonts w:hint="default" w:ascii="Times New Roman" w:hAnsi="Times New Roman" w:eastAsia="仿宋_GB2312" w:cs="Times New Roman"/>
          <w:color w:val="000000"/>
          <w:kern w:val="24"/>
          <w:sz w:val="24"/>
          <w:szCs w:val="24"/>
          <w:lang w:val="en-US" w:eastAsia="zh-CN" w:bidi="ar"/>
        </w:rPr>
        <w:t>0.13</w:t>
      </w:r>
      <w:r>
        <w:rPr>
          <w:rFonts w:hint="eastAsia" w:ascii="Times New Roman" w:hAnsi="Times New Roman" w:eastAsia="仿宋_GB2312" w:cs="Times New Roman"/>
          <w:color w:val="000000"/>
          <w:kern w:val="24"/>
          <w:sz w:val="24"/>
          <w:szCs w:val="24"/>
          <w:lang w:val="en-US" w:eastAsia="zh-CN" w:bidi="ar"/>
        </w:rPr>
        <w:t>万元，监测措施费用</w:t>
      </w:r>
      <w:r>
        <w:rPr>
          <w:rFonts w:hint="default" w:ascii="Times New Roman" w:hAnsi="Times New Roman" w:eastAsia="仿宋_GB2312" w:cs="Times New Roman"/>
          <w:color w:val="000000"/>
          <w:kern w:val="24"/>
          <w:sz w:val="24"/>
          <w:szCs w:val="24"/>
          <w:lang w:val="en-US" w:eastAsia="zh-CN" w:bidi="ar"/>
        </w:rPr>
        <w:t>2.50</w:t>
      </w:r>
      <w:r>
        <w:rPr>
          <w:rFonts w:hint="eastAsia" w:ascii="Times New Roman" w:hAnsi="Times New Roman" w:eastAsia="仿宋_GB2312" w:cs="Times New Roman"/>
          <w:color w:val="000000"/>
          <w:kern w:val="24"/>
          <w:sz w:val="24"/>
          <w:szCs w:val="24"/>
          <w:lang w:val="en-US" w:eastAsia="zh-CN" w:bidi="ar"/>
        </w:rPr>
        <w:t>万元，临时措施费</w:t>
      </w:r>
      <w:r>
        <w:rPr>
          <w:rFonts w:hint="default" w:ascii="Times New Roman" w:hAnsi="Times New Roman" w:eastAsia="仿宋_GB2312" w:cs="Times New Roman"/>
          <w:color w:val="000000"/>
          <w:kern w:val="24"/>
          <w:sz w:val="24"/>
          <w:szCs w:val="24"/>
          <w:lang w:val="en-US" w:eastAsia="zh-CN" w:bidi="ar"/>
        </w:rPr>
        <w:t>0.17</w:t>
      </w:r>
      <w:r>
        <w:rPr>
          <w:rFonts w:hint="eastAsia" w:ascii="Times New Roman" w:hAnsi="Times New Roman" w:eastAsia="仿宋_GB2312" w:cs="Times New Roman"/>
          <w:color w:val="000000"/>
          <w:kern w:val="24"/>
          <w:sz w:val="24"/>
          <w:szCs w:val="24"/>
          <w:lang w:val="en-US" w:eastAsia="zh-CN" w:bidi="ar"/>
        </w:rPr>
        <w:t>万元，独立费用</w:t>
      </w:r>
      <w:r>
        <w:rPr>
          <w:rFonts w:hint="default" w:ascii="Times New Roman" w:hAnsi="Times New Roman" w:eastAsia="仿宋_GB2312" w:cs="Times New Roman"/>
          <w:color w:val="000000"/>
          <w:kern w:val="24"/>
          <w:sz w:val="24"/>
          <w:szCs w:val="24"/>
          <w:lang w:val="en-US" w:eastAsia="zh-CN" w:bidi="ar"/>
        </w:rPr>
        <w:t>6.06</w:t>
      </w:r>
      <w:r>
        <w:rPr>
          <w:rFonts w:hint="eastAsia" w:ascii="Times New Roman" w:hAnsi="Times New Roman" w:eastAsia="仿宋_GB2312" w:cs="Times New Roman"/>
          <w:color w:val="000000"/>
          <w:kern w:val="24"/>
          <w:sz w:val="24"/>
          <w:szCs w:val="24"/>
          <w:lang w:val="en-US" w:eastAsia="zh-CN" w:bidi="ar"/>
        </w:rPr>
        <w:t>万元，基本预备费</w:t>
      </w:r>
      <w:r>
        <w:rPr>
          <w:rFonts w:hint="default" w:ascii="Times New Roman" w:hAnsi="Times New Roman" w:eastAsia="仿宋_GB2312" w:cs="Times New Roman"/>
          <w:color w:val="000000"/>
          <w:kern w:val="24"/>
          <w:sz w:val="24"/>
          <w:szCs w:val="24"/>
          <w:lang w:val="en-US" w:eastAsia="zh-CN" w:bidi="ar"/>
        </w:rPr>
        <w:t>0.53</w:t>
      </w:r>
      <w:r>
        <w:rPr>
          <w:rFonts w:hint="eastAsia" w:ascii="Times New Roman" w:hAnsi="Times New Roman" w:eastAsia="仿宋_GB2312" w:cs="Times New Roman"/>
          <w:color w:val="000000"/>
          <w:kern w:val="24"/>
          <w:sz w:val="24"/>
          <w:szCs w:val="24"/>
          <w:lang w:val="en-US" w:eastAsia="zh-CN" w:bidi="ar"/>
        </w:rPr>
        <w:t>万元，水土保持补偿费</w:t>
      </w:r>
      <w:r>
        <w:rPr>
          <w:rFonts w:hint="default" w:ascii="Times New Roman" w:hAnsi="Times New Roman" w:eastAsia="仿宋_GB2312" w:cs="Times New Roman"/>
          <w:color w:val="000000"/>
          <w:kern w:val="24"/>
          <w:sz w:val="24"/>
          <w:szCs w:val="24"/>
          <w:lang w:val="en-US" w:eastAsia="zh-CN" w:bidi="ar"/>
        </w:rPr>
        <w:t>0.33</w:t>
      </w:r>
      <w:r>
        <w:rPr>
          <w:rFonts w:hint="eastAsia" w:ascii="Times New Roman" w:hAnsi="Times New Roman" w:eastAsia="仿宋_GB2312" w:cs="Times New Roman"/>
          <w:color w:val="000000"/>
          <w:kern w:val="24"/>
          <w:sz w:val="24"/>
          <w:szCs w:val="24"/>
          <w:lang w:val="en-US" w:eastAsia="zh-CN" w:bidi="ar"/>
        </w:rPr>
        <w:t>万元</w:t>
      </w:r>
      <w:r>
        <w:rPr>
          <w:rFonts w:cs="Times New Roman"/>
          <w:szCs w:val="24"/>
        </w:rPr>
        <w:t>。</w:t>
      </w:r>
      <w:r>
        <w:t>批复的水土保持投资详见表3.6-1。</w:t>
      </w:r>
    </w:p>
    <w:p>
      <w:pPr>
        <w:pStyle w:val="58"/>
        <w:spacing w:before="120"/>
        <w:rPr>
          <w:color w:val="auto"/>
        </w:rPr>
      </w:pPr>
      <w:r>
        <w:rPr>
          <w:rFonts w:hint="eastAsia"/>
          <w:color w:val="auto"/>
          <w:lang w:val="en-US" w:eastAsia="zh-CN"/>
        </w:rPr>
        <w:t xml:space="preserve">  </w:t>
      </w:r>
      <w:r>
        <w:rPr>
          <w:color w:val="auto"/>
        </w:rPr>
        <w:t>批复的水土保持投资表    单位：万元</w:t>
      </w:r>
    </w:p>
    <w:p>
      <w:pPr>
        <w:pStyle w:val="13"/>
        <w:keepNext/>
      </w:pPr>
      <w:r>
        <w:t xml:space="preserve">表 </w:t>
      </w:r>
      <w:r>
        <w:rPr>
          <w:rFonts w:hint="eastAsia"/>
        </w:rPr>
        <w:t>3.6</w:t>
      </w:r>
      <w:r>
        <w:noBreakHyphen/>
      </w:r>
      <w:r>
        <w:fldChar w:fldCharType="begin"/>
      </w:r>
      <w:r>
        <w:instrText xml:space="preserve"> SEQ 表 \* ARABIC \s 2 </w:instrText>
      </w:r>
      <w:r>
        <w:fldChar w:fldCharType="separate"/>
      </w:r>
      <w:r>
        <w:t>1</w:t>
      </w:r>
      <w:r>
        <w:fldChar w:fldCharType="end"/>
      </w:r>
    </w:p>
    <w:tbl>
      <w:tblPr>
        <w:tblStyle w:val="32"/>
        <w:tblW w:w="8860" w:type="dxa"/>
        <w:jc w:val="center"/>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shd w:val="clear" w:color="auto" w:fill="auto"/>
        <w:tblLayout w:type="fixed"/>
        <w:tblCellMar>
          <w:top w:w="0" w:type="dxa"/>
          <w:left w:w="0" w:type="dxa"/>
          <w:bottom w:w="0" w:type="dxa"/>
          <w:right w:w="0" w:type="dxa"/>
        </w:tblCellMar>
      </w:tblPr>
      <w:tblGrid>
        <w:gridCol w:w="712"/>
        <w:gridCol w:w="66"/>
        <w:gridCol w:w="1770"/>
        <w:gridCol w:w="849"/>
        <w:gridCol w:w="850"/>
        <w:gridCol w:w="849"/>
        <w:gridCol w:w="850"/>
        <w:gridCol w:w="1034"/>
        <w:gridCol w:w="948"/>
        <w:gridCol w:w="932"/>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737" w:hRule="atLeast"/>
          <w:jc w:val="center"/>
        </w:trPr>
        <w:tc>
          <w:tcPr>
            <w:tcW w:w="712"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序号</w:t>
            </w:r>
          </w:p>
        </w:tc>
        <w:tc>
          <w:tcPr>
            <w:tcW w:w="1836" w:type="dxa"/>
            <w:gridSpan w:val="2"/>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工程或费用名称</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建安工程费</w:t>
            </w:r>
          </w:p>
        </w:tc>
        <w:tc>
          <w:tcPr>
            <w:tcW w:w="85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rFonts w:eastAsia="宋体"/>
                <w:color w:val="000000"/>
                <w:lang w:val="en-US"/>
              </w:rPr>
            </w:pPr>
            <w:r>
              <w:rPr>
                <w:rFonts w:hint="eastAsia" w:ascii="Times New Roman" w:hAnsi="Times New Roman" w:eastAsia="仿宋_GB2312" w:cs="仿宋_GB2312"/>
                <w:color w:val="000000"/>
                <w:kern w:val="2"/>
                <w:sz w:val="18"/>
                <w:szCs w:val="18"/>
                <w:lang w:val="en-US" w:eastAsia="zh-CN" w:bidi="ar"/>
              </w:rPr>
              <w:t>设备费</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rFonts w:hAnsi="宋体" w:cs="宋体"/>
                <w:color w:val="000000"/>
                <w:lang w:val="en-US"/>
              </w:rPr>
            </w:pPr>
            <w:r>
              <w:rPr>
                <w:rFonts w:hint="eastAsia" w:ascii="Times New Roman" w:hAnsi="Times New Roman" w:eastAsia="仿宋_GB2312" w:cs="仿宋_GB2312"/>
                <w:color w:val="000000"/>
                <w:kern w:val="2"/>
                <w:sz w:val="18"/>
                <w:szCs w:val="18"/>
                <w:lang w:val="en-US" w:eastAsia="zh-CN" w:bidi="ar"/>
              </w:rPr>
              <w:t>植物措施费</w:t>
            </w:r>
          </w:p>
        </w:tc>
        <w:tc>
          <w:tcPr>
            <w:tcW w:w="850"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独立费用</w:t>
            </w:r>
          </w:p>
        </w:tc>
        <w:tc>
          <w:tcPr>
            <w:tcW w:w="1034"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水土保持总投资</w:t>
            </w:r>
          </w:p>
        </w:tc>
        <w:tc>
          <w:tcPr>
            <w:tcW w:w="948"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主体工程已计水保措施投资</w:t>
            </w:r>
          </w:p>
        </w:tc>
        <w:tc>
          <w:tcPr>
            <w:tcW w:w="932"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新增水保专项投资</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40" w:hRule="atLeast"/>
          <w:jc w:val="center"/>
        </w:trPr>
        <w:tc>
          <w:tcPr>
            <w:tcW w:w="2548" w:type="dxa"/>
            <w:gridSpan w:val="3"/>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第一部分：工程措施</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15.80</w:t>
            </w:r>
          </w:p>
        </w:tc>
        <w:tc>
          <w:tcPr>
            <w:tcW w:w="85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1034"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15.80</w:t>
            </w:r>
          </w:p>
        </w:tc>
        <w:tc>
          <w:tcPr>
            <w:tcW w:w="948"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15.80</w:t>
            </w:r>
          </w:p>
        </w:tc>
        <w:tc>
          <w:tcPr>
            <w:tcW w:w="932"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548" w:type="dxa"/>
            <w:gridSpan w:val="3"/>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第二部分：植物措施</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0.13</w:t>
            </w:r>
          </w:p>
        </w:tc>
        <w:tc>
          <w:tcPr>
            <w:tcW w:w="850"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1034"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0.13</w:t>
            </w:r>
          </w:p>
        </w:tc>
        <w:tc>
          <w:tcPr>
            <w:tcW w:w="948"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w:t>
            </w:r>
          </w:p>
        </w:tc>
        <w:tc>
          <w:tcPr>
            <w:tcW w:w="932"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0.13</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548" w:type="dxa"/>
            <w:gridSpan w:val="3"/>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第三部分：</w:t>
            </w:r>
            <w:r>
              <w:rPr>
                <w:rFonts w:hint="default" w:ascii="Times New Roman" w:hAnsi="Times New Roman" w:eastAsia="仿宋_GB2312" w:cs="Times New Roman"/>
                <w:color w:val="000000"/>
                <w:kern w:val="2"/>
                <w:sz w:val="18"/>
                <w:szCs w:val="18"/>
                <w:lang w:val="en-US" w:eastAsia="zh-CN" w:bidi="ar"/>
              </w:rPr>
              <w:t xml:space="preserve"> </w:t>
            </w:r>
            <w:r>
              <w:rPr>
                <w:rFonts w:hint="eastAsia" w:ascii="Times New Roman" w:hAnsi="Times New Roman" w:eastAsia="仿宋_GB2312" w:cs="仿宋_GB2312"/>
                <w:color w:val="000000"/>
                <w:kern w:val="2"/>
                <w:sz w:val="18"/>
                <w:szCs w:val="18"/>
                <w:lang w:val="en-US" w:eastAsia="zh-CN" w:bidi="ar"/>
              </w:rPr>
              <w:t>监测措施</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p>
        </w:tc>
        <w:tc>
          <w:tcPr>
            <w:tcW w:w="85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2.50</w:t>
            </w:r>
          </w:p>
        </w:tc>
        <w:tc>
          <w:tcPr>
            <w:tcW w:w="1034"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2.50</w:t>
            </w:r>
          </w:p>
        </w:tc>
        <w:tc>
          <w:tcPr>
            <w:tcW w:w="948"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w:t>
            </w:r>
          </w:p>
        </w:tc>
        <w:tc>
          <w:tcPr>
            <w:tcW w:w="932"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2.50</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40" w:hRule="atLeast"/>
          <w:jc w:val="center"/>
        </w:trPr>
        <w:tc>
          <w:tcPr>
            <w:tcW w:w="2548" w:type="dxa"/>
            <w:gridSpan w:val="3"/>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第四部分：临时措施</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0.17</w:t>
            </w:r>
          </w:p>
        </w:tc>
        <w:tc>
          <w:tcPr>
            <w:tcW w:w="85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1034"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0.17</w:t>
            </w:r>
          </w:p>
        </w:tc>
        <w:tc>
          <w:tcPr>
            <w:tcW w:w="948"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w:t>
            </w:r>
          </w:p>
        </w:tc>
        <w:tc>
          <w:tcPr>
            <w:tcW w:w="932"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0.17</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40" w:hRule="atLeast"/>
          <w:jc w:val="center"/>
        </w:trPr>
        <w:tc>
          <w:tcPr>
            <w:tcW w:w="2548" w:type="dxa"/>
            <w:gridSpan w:val="3"/>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第五部分：独立费用</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6.06</w:t>
            </w:r>
          </w:p>
        </w:tc>
        <w:tc>
          <w:tcPr>
            <w:tcW w:w="1034"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6.06</w:t>
            </w:r>
          </w:p>
        </w:tc>
        <w:tc>
          <w:tcPr>
            <w:tcW w:w="948"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w:t>
            </w:r>
          </w:p>
        </w:tc>
        <w:tc>
          <w:tcPr>
            <w:tcW w:w="932"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6.06</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40" w:hRule="atLeast"/>
          <w:jc w:val="center"/>
        </w:trPr>
        <w:tc>
          <w:tcPr>
            <w:tcW w:w="778" w:type="dxa"/>
            <w:gridSpan w:val="2"/>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一</w:t>
            </w:r>
          </w:p>
        </w:tc>
        <w:tc>
          <w:tcPr>
            <w:tcW w:w="177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 w:cs="仿宋"/>
                <w:color w:val="000000"/>
                <w:kern w:val="0"/>
                <w:sz w:val="18"/>
                <w:szCs w:val="18"/>
                <w:lang w:val="en-US" w:eastAsia="zh-CN" w:bidi="ar"/>
              </w:rPr>
              <w:t>建设管理费</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0.06</w:t>
            </w:r>
          </w:p>
        </w:tc>
        <w:tc>
          <w:tcPr>
            <w:tcW w:w="1034"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0.06</w:t>
            </w:r>
          </w:p>
        </w:tc>
        <w:tc>
          <w:tcPr>
            <w:tcW w:w="948"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w:t>
            </w:r>
          </w:p>
        </w:tc>
        <w:tc>
          <w:tcPr>
            <w:tcW w:w="932"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0.06</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40" w:hRule="atLeast"/>
          <w:jc w:val="center"/>
        </w:trPr>
        <w:tc>
          <w:tcPr>
            <w:tcW w:w="778" w:type="dxa"/>
            <w:gridSpan w:val="2"/>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二</w:t>
            </w:r>
          </w:p>
        </w:tc>
        <w:tc>
          <w:tcPr>
            <w:tcW w:w="177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科研勘测设计费</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3.00</w:t>
            </w:r>
          </w:p>
        </w:tc>
        <w:tc>
          <w:tcPr>
            <w:tcW w:w="1034"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3.00</w:t>
            </w:r>
          </w:p>
        </w:tc>
        <w:tc>
          <w:tcPr>
            <w:tcW w:w="948"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w:t>
            </w:r>
          </w:p>
        </w:tc>
        <w:tc>
          <w:tcPr>
            <w:tcW w:w="932"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3.00</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78" w:type="dxa"/>
            <w:gridSpan w:val="2"/>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三</w:t>
            </w:r>
          </w:p>
        </w:tc>
        <w:tc>
          <w:tcPr>
            <w:tcW w:w="177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水土保持设施验收费</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3.00</w:t>
            </w:r>
          </w:p>
        </w:tc>
        <w:tc>
          <w:tcPr>
            <w:tcW w:w="1034"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3.00</w:t>
            </w:r>
          </w:p>
        </w:tc>
        <w:tc>
          <w:tcPr>
            <w:tcW w:w="948"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w:t>
            </w:r>
          </w:p>
        </w:tc>
        <w:tc>
          <w:tcPr>
            <w:tcW w:w="932"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3.00</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78" w:type="dxa"/>
            <w:gridSpan w:val="2"/>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Calibri" w:hAnsi="Calibri" w:eastAsia="宋体" w:cs="Times New Roman"/>
                <w:kern w:val="2"/>
                <w:sz w:val="21"/>
                <w:szCs w:val="22"/>
                <w:lang w:val="en-US" w:eastAsia="zh-CN" w:bidi="ar"/>
              </w:rPr>
              <w:drawing>
                <wp:inline distT="0" distB="0" distL="114300" distR="114300">
                  <wp:extent cx="114300" cy="16764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32">
                            <a:clrChange>
                              <a:clrFrom>
                                <a:srgbClr val="FFFFFF"/>
                              </a:clrFrom>
                              <a:clrTo>
                                <a:srgbClr val="FFFFFF">
                                  <a:alpha val="0"/>
                                </a:srgbClr>
                              </a:clrTo>
                            </a:clrChange>
                          </a:blip>
                          <a:stretch>
                            <a:fillRect/>
                          </a:stretch>
                        </pic:blipFill>
                        <pic:spPr>
                          <a:xfrm>
                            <a:off x="0" y="0"/>
                            <a:ext cx="114300" cy="167640"/>
                          </a:xfrm>
                          <a:prstGeom prst="rect">
                            <a:avLst/>
                          </a:prstGeom>
                          <a:noFill/>
                          <a:ln>
                            <a:noFill/>
                          </a:ln>
                        </pic:spPr>
                      </pic:pic>
                    </a:graphicData>
                  </a:graphic>
                </wp:inline>
              </w:drawing>
            </w:r>
          </w:p>
        </w:tc>
        <w:tc>
          <w:tcPr>
            <w:tcW w:w="177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一至五部分合计</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15.97</w:t>
            </w:r>
          </w:p>
        </w:tc>
        <w:tc>
          <w:tcPr>
            <w:tcW w:w="85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0.13</w:t>
            </w:r>
          </w:p>
        </w:tc>
        <w:tc>
          <w:tcPr>
            <w:tcW w:w="850"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8.56</w:t>
            </w:r>
          </w:p>
        </w:tc>
        <w:tc>
          <w:tcPr>
            <w:tcW w:w="1034"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24.66</w:t>
            </w:r>
          </w:p>
        </w:tc>
        <w:tc>
          <w:tcPr>
            <w:tcW w:w="948"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15.80</w:t>
            </w:r>
          </w:p>
        </w:tc>
        <w:tc>
          <w:tcPr>
            <w:tcW w:w="932"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8.86</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78" w:type="dxa"/>
            <w:gridSpan w:val="2"/>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Calibri" w:hAnsi="Calibri" w:eastAsia="宋体" w:cs="Times New Roman"/>
                <w:kern w:val="2"/>
                <w:sz w:val="21"/>
                <w:szCs w:val="22"/>
                <w:lang w:val="en-US" w:eastAsia="zh-CN" w:bidi="ar"/>
              </w:rPr>
              <w:drawing>
                <wp:inline distT="0" distB="0" distL="114300" distR="114300">
                  <wp:extent cx="114300" cy="167640"/>
                  <wp:effectExtent l="0" t="0" r="7620"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33">
                            <a:clrChange>
                              <a:clrFrom>
                                <a:srgbClr val="FFFFFF"/>
                              </a:clrFrom>
                              <a:clrTo>
                                <a:srgbClr val="FFFFFF">
                                  <a:alpha val="0"/>
                                </a:srgbClr>
                              </a:clrTo>
                            </a:clrChange>
                          </a:blip>
                          <a:stretch>
                            <a:fillRect/>
                          </a:stretch>
                        </pic:blipFill>
                        <pic:spPr>
                          <a:xfrm>
                            <a:off x="0" y="0"/>
                            <a:ext cx="114300" cy="167640"/>
                          </a:xfrm>
                          <a:prstGeom prst="rect">
                            <a:avLst/>
                          </a:prstGeom>
                          <a:noFill/>
                          <a:ln>
                            <a:noFill/>
                          </a:ln>
                        </pic:spPr>
                      </pic:pic>
                    </a:graphicData>
                  </a:graphic>
                </wp:inline>
              </w:drawing>
            </w:r>
          </w:p>
        </w:tc>
        <w:tc>
          <w:tcPr>
            <w:tcW w:w="177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基本预备费</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1034"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0.53</w:t>
            </w:r>
          </w:p>
        </w:tc>
        <w:tc>
          <w:tcPr>
            <w:tcW w:w="948"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w:t>
            </w:r>
          </w:p>
        </w:tc>
        <w:tc>
          <w:tcPr>
            <w:tcW w:w="932"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0.53</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40" w:hRule="atLeast"/>
          <w:jc w:val="center"/>
        </w:trPr>
        <w:tc>
          <w:tcPr>
            <w:tcW w:w="778" w:type="dxa"/>
            <w:gridSpan w:val="2"/>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仿宋_GB2312" w:hAnsi="Times New Roman" w:eastAsia="仿宋_GB2312" w:cs="仿宋_GB2312"/>
                <w:color w:val="000000"/>
                <w:kern w:val="2"/>
                <w:sz w:val="18"/>
                <w:szCs w:val="18"/>
                <w:lang w:val="en-US" w:eastAsia="zh-CN" w:bidi="ar"/>
              </w:rPr>
              <w:t>Ⅲ</w:t>
            </w:r>
          </w:p>
        </w:tc>
        <w:tc>
          <w:tcPr>
            <w:tcW w:w="177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价差预备费</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1034"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w:t>
            </w:r>
          </w:p>
        </w:tc>
        <w:tc>
          <w:tcPr>
            <w:tcW w:w="948"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w:t>
            </w:r>
          </w:p>
        </w:tc>
        <w:tc>
          <w:tcPr>
            <w:tcW w:w="932"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40" w:hRule="atLeast"/>
          <w:jc w:val="center"/>
        </w:trPr>
        <w:tc>
          <w:tcPr>
            <w:tcW w:w="778" w:type="dxa"/>
            <w:gridSpan w:val="2"/>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仿宋_GB2312" w:hAnsi="Times New Roman" w:eastAsia="仿宋_GB2312" w:cs="仿宋_GB2312"/>
                <w:color w:val="000000"/>
                <w:kern w:val="2"/>
                <w:sz w:val="18"/>
                <w:szCs w:val="18"/>
                <w:lang w:val="en-US" w:eastAsia="zh-CN" w:bidi="ar"/>
              </w:rPr>
              <w:t>Ⅳ</w:t>
            </w:r>
          </w:p>
        </w:tc>
        <w:tc>
          <w:tcPr>
            <w:tcW w:w="177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水土保持补偿费</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1034"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0.33</w:t>
            </w:r>
          </w:p>
        </w:tc>
        <w:tc>
          <w:tcPr>
            <w:tcW w:w="948"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w:t>
            </w:r>
          </w:p>
        </w:tc>
        <w:tc>
          <w:tcPr>
            <w:tcW w:w="932"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0.33</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78" w:type="dxa"/>
            <w:gridSpan w:val="2"/>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rFonts w:hint="eastAsia" w:ascii="仿宋_GB2312" w:eastAsia="仿宋_GB2312" w:cs="仿宋_GB2312"/>
                <w:color w:val="000000"/>
                <w:lang w:val="en-US"/>
              </w:rPr>
            </w:pPr>
            <w:r>
              <w:rPr>
                <w:rFonts w:hint="default" w:ascii="Calibri" w:hAnsi="Calibri" w:eastAsia="宋体" w:cs="Times New Roman"/>
                <w:kern w:val="2"/>
                <w:sz w:val="21"/>
                <w:szCs w:val="22"/>
                <w:lang w:val="en-US" w:eastAsia="zh-CN" w:bidi="ar"/>
              </w:rPr>
              <w:drawing>
                <wp:inline distT="0" distB="0" distL="114300" distR="114300">
                  <wp:extent cx="114300" cy="167640"/>
                  <wp:effectExtent l="0" t="0" r="762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34">
                            <a:clrChange>
                              <a:clrFrom>
                                <a:srgbClr val="FFFFFF"/>
                              </a:clrFrom>
                              <a:clrTo>
                                <a:srgbClr val="FFFFFF">
                                  <a:alpha val="0"/>
                                </a:srgbClr>
                              </a:clrTo>
                            </a:clrChange>
                          </a:blip>
                          <a:stretch>
                            <a:fillRect/>
                          </a:stretch>
                        </pic:blipFill>
                        <pic:spPr>
                          <a:xfrm>
                            <a:off x="0" y="0"/>
                            <a:ext cx="114300" cy="167640"/>
                          </a:xfrm>
                          <a:prstGeom prst="rect">
                            <a:avLst/>
                          </a:prstGeom>
                          <a:noFill/>
                          <a:ln>
                            <a:noFill/>
                          </a:ln>
                        </pic:spPr>
                      </pic:pic>
                    </a:graphicData>
                  </a:graphic>
                </wp:inline>
              </w:drawing>
            </w:r>
          </w:p>
        </w:tc>
        <w:tc>
          <w:tcPr>
            <w:tcW w:w="177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工程总投资</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1034"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25.52</w:t>
            </w:r>
          </w:p>
        </w:tc>
        <w:tc>
          <w:tcPr>
            <w:tcW w:w="948"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15.80</w:t>
            </w:r>
          </w:p>
        </w:tc>
        <w:tc>
          <w:tcPr>
            <w:tcW w:w="932"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9.72</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340" w:hRule="atLeast"/>
          <w:jc w:val="center"/>
        </w:trPr>
        <w:tc>
          <w:tcPr>
            <w:tcW w:w="2548" w:type="dxa"/>
            <w:gridSpan w:val="3"/>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静态总投资（</w:t>
            </w:r>
            <w:r>
              <w:rPr>
                <w:rFonts w:hint="eastAsia" w:ascii="宋体" w:hAnsi="宋体" w:eastAsia="宋体" w:cs="宋体"/>
                <w:color w:val="000000"/>
                <w:kern w:val="2"/>
                <w:sz w:val="18"/>
                <w:szCs w:val="18"/>
                <w:lang w:val="en-US" w:eastAsia="zh-CN" w:bidi="ar"/>
              </w:rPr>
              <w:t>Ⅰ</w:t>
            </w:r>
            <w:r>
              <w:rPr>
                <w:rFonts w:hint="default" w:ascii="Times New Roman" w:hAnsi="Times New Roman" w:eastAsia="仿宋_GB2312" w:cs="Times New Roman"/>
                <w:color w:val="000000"/>
                <w:kern w:val="2"/>
                <w:sz w:val="18"/>
                <w:szCs w:val="18"/>
                <w:lang w:val="en-US" w:eastAsia="zh-CN" w:bidi="ar"/>
              </w:rPr>
              <w:t>+</w:t>
            </w:r>
            <w:r>
              <w:rPr>
                <w:rFonts w:hint="eastAsia" w:ascii="宋体" w:hAnsi="宋体" w:eastAsia="宋体" w:cs="宋体"/>
                <w:color w:val="000000"/>
                <w:kern w:val="2"/>
                <w:sz w:val="18"/>
                <w:szCs w:val="18"/>
                <w:lang w:val="en-US" w:eastAsia="zh-CN" w:bidi="ar"/>
              </w:rPr>
              <w:t>Ⅱ</w:t>
            </w:r>
            <w:r>
              <w:rPr>
                <w:rFonts w:hint="default" w:ascii="Times New Roman" w:hAnsi="Times New Roman" w:eastAsia="仿宋_GB2312" w:cs="Times New Roman"/>
                <w:color w:val="000000"/>
                <w:kern w:val="2"/>
                <w:sz w:val="18"/>
                <w:szCs w:val="18"/>
                <w:lang w:val="en-US" w:eastAsia="zh-CN" w:bidi="ar"/>
              </w:rPr>
              <w:t>+</w:t>
            </w:r>
            <w:r>
              <w:rPr>
                <w:rFonts w:hint="eastAsia" w:ascii="宋体" w:hAnsi="宋体" w:eastAsia="宋体" w:cs="宋体"/>
                <w:color w:val="000000"/>
                <w:kern w:val="2"/>
                <w:sz w:val="18"/>
                <w:szCs w:val="18"/>
                <w:lang w:val="en-US" w:eastAsia="zh-CN" w:bidi="ar"/>
              </w:rPr>
              <w:t>Ⅳ</w:t>
            </w:r>
            <w:r>
              <w:rPr>
                <w:rFonts w:hint="eastAsia" w:ascii="Times New Roman" w:hAnsi="Times New Roman" w:eastAsia="仿宋_GB2312" w:cs="仿宋_GB2312"/>
                <w:color w:val="000000"/>
                <w:kern w:val="2"/>
                <w:sz w:val="18"/>
                <w:szCs w:val="18"/>
                <w:lang w:val="en-US" w:eastAsia="zh-CN" w:bidi="ar"/>
              </w:rPr>
              <w:t>）</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1034"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25.52</w:t>
            </w:r>
          </w:p>
        </w:tc>
        <w:tc>
          <w:tcPr>
            <w:tcW w:w="948"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932"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2548" w:type="dxa"/>
            <w:gridSpan w:val="3"/>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eastAsia" w:ascii="Times New Roman" w:hAnsi="Times New Roman" w:eastAsia="仿宋_GB2312" w:cs="仿宋_GB2312"/>
                <w:color w:val="000000"/>
                <w:kern w:val="2"/>
                <w:sz w:val="18"/>
                <w:szCs w:val="18"/>
                <w:lang w:val="en-US" w:eastAsia="zh-CN" w:bidi="ar"/>
              </w:rPr>
              <w:t>总投资（</w:t>
            </w:r>
            <w:r>
              <w:rPr>
                <w:rFonts w:hint="eastAsia" w:ascii="宋体" w:hAnsi="宋体" w:eastAsia="宋体" w:cs="宋体"/>
                <w:color w:val="000000"/>
                <w:kern w:val="2"/>
                <w:sz w:val="18"/>
                <w:szCs w:val="18"/>
                <w:lang w:val="en-US" w:eastAsia="zh-CN" w:bidi="ar"/>
              </w:rPr>
              <w:t>Ⅰ</w:t>
            </w:r>
            <w:r>
              <w:rPr>
                <w:rFonts w:hint="default" w:ascii="Times New Roman" w:hAnsi="Times New Roman" w:eastAsia="仿宋_GB2312" w:cs="Times New Roman"/>
                <w:color w:val="000000"/>
                <w:kern w:val="2"/>
                <w:sz w:val="18"/>
                <w:szCs w:val="18"/>
                <w:lang w:val="en-US" w:eastAsia="zh-CN" w:bidi="ar"/>
              </w:rPr>
              <w:t>+</w:t>
            </w:r>
            <w:r>
              <w:rPr>
                <w:rFonts w:hint="eastAsia" w:ascii="宋体" w:hAnsi="宋体" w:eastAsia="宋体" w:cs="宋体"/>
                <w:color w:val="000000"/>
                <w:kern w:val="2"/>
                <w:sz w:val="18"/>
                <w:szCs w:val="18"/>
                <w:lang w:val="en-US" w:eastAsia="zh-CN" w:bidi="ar"/>
              </w:rPr>
              <w:t>Ⅱ</w:t>
            </w:r>
            <w:r>
              <w:rPr>
                <w:rFonts w:hint="default" w:ascii="Times New Roman" w:hAnsi="Times New Roman" w:eastAsia="仿宋_GB2312" w:cs="Times New Roman"/>
                <w:color w:val="000000"/>
                <w:kern w:val="2"/>
                <w:sz w:val="18"/>
                <w:szCs w:val="18"/>
                <w:lang w:val="en-US" w:eastAsia="zh-CN" w:bidi="ar"/>
              </w:rPr>
              <w:t>+</w:t>
            </w:r>
            <w:r>
              <w:rPr>
                <w:rFonts w:hint="eastAsia" w:ascii="宋体" w:hAnsi="宋体" w:eastAsia="宋体" w:cs="宋体"/>
                <w:color w:val="000000"/>
                <w:kern w:val="2"/>
                <w:sz w:val="18"/>
                <w:szCs w:val="18"/>
                <w:lang w:val="en-US" w:eastAsia="zh-CN" w:bidi="ar"/>
              </w:rPr>
              <w:t>Ⅲ</w:t>
            </w:r>
            <w:r>
              <w:rPr>
                <w:rFonts w:hint="default" w:ascii="Times New Roman" w:hAnsi="Times New Roman" w:eastAsia="仿宋_GB2312" w:cs="Times New Roman"/>
                <w:color w:val="000000"/>
                <w:kern w:val="2"/>
                <w:sz w:val="18"/>
                <w:szCs w:val="18"/>
                <w:lang w:val="en-US" w:eastAsia="zh-CN" w:bidi="ar"/>
              </w:rPr>
              <w:t>+</w:t>
            </w:r>
            <w:r>
              <w:rPr>
                <w:rFonts w:hint="eastAsia" w:ascii="宋体" w:hAnsi="宋体" w:eastAsia="宋体" w:cs="宋体"/>
                <w:color w:val="000000"/>
                <w:kern w:val="2"/>
                <w:sz w:val="18"/>
                <w:szCs w:val="18"/>
                <w:lang w:val="en-US" w:eastAsia="zh-CN" w:bidi="ar"/>
              </w:rPr>
              <w:t>Ⅳ</w:t>
            </w:r>
            <w:r>
              <w:rPr>
                <w:rFonts w:hint="eastAsia" w:ascii="Times New Roman" w:hAnsi="Times New Roman" w:eastAsia="仿宋_GB2312" w:cs="仿宋_GB2312"/>
                <w:color w:val="000000"/>
                <w:kern w:val="2"/>
                <w:sz w:val="18"/>
                <w:szCs w:val="18"/>
                <w:lang w:val="en-US" w:eastAsia="zh-CN" w:bidi="ar"/>
              </w:rPr>
              <w:t>）</w:t>
            </w: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49"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850"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1034"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leftChars="0" w:right="0" w:firstLine="0" w:firstLineChars="0"/>
              <w:jc w:val="center"/>
              <w:outlineLvl w:val="6"/>
              <w:rPr>
                <w:color w:val="000000"/>
                <w:lang w:val="en-US"/>
              </w:rPr>
            </w:pPr>
            <w:r>
              <w:rPr>
                <w:rFonts w:hint="default" w:ascii="Times New Roman" w:hAnsi="Times New Roman" w:eastAsia="仿宋_GB2312" w:cs="Times New Roman"/>
                <w:color w:val="000000"/>
                <w:kern w:val="2"/>
                <w:sz w:val="18"/>
                <w:szCs w:val="18"/>
                <w:lang w:val="en-US" w:eastAsia="zh-CN" w:bidi="ar"/>
              </w:rPr>
              <w:t>25.52</w:t>
            </w:r>
          </w:p>
        </w:tc>
        <w:tc>
          <w:tcPr>
            <w:tcW w:w="948"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c>
          <w:tcPr>
            <w:tcW w:w="932" w:type="dxa"/>
            <w:tcBorders>
              <w:tl2br w:val="nil"/>
              <w:tr2bl w:val="nil"/>
            </w:tcBorders>
            <w:shd w:val="clear" w:color="auto" w:fill="auto"/>
            <w:tcMar>
              <w:top w:w="12" w:type="dxa"/>
              <w:left w:w="12" w:type="dxa"/>
              <w:right w:w="12" w:type="dxa"/>
            </w:tcMar>
            <w:vAlign w:val="center"/>
          </w:tcPr>
          <w:p>
            <w:pPr>
              <w:pStyle w:val="30"/>
              <w:keepNext w:val="0"/>
              <w:keepLines w:val="0"/>
              <w:widowControl w:val="0"/>
              <w:suppressLineNumbers w:val="0"/>
              <w:overflowPunct w:val="0"/>
              <w:topLinePunct/>
              <w:spacing w:before="0" w:beforeAutospacing="0" w:after="0" w:afterAutospacing="0" w:line="240" w:lineRule="auto"/>
              <w:ind w:left="0" w:right="0" w:firstLine="480" w:firstLineChars="0"/>
              <w:jc w:val="center"/>
              <w:outlineLvl w:val="6"/>
              <w:rPr>
                <w:color w:val="000000"/>
                <w:lang w:val="en-US"/>
              </w:rPr>
            </w:pPr>
          </w:p>
        </w:tc>
      </w:tr>
    </w:tbl>
    <w:p>
      <w:pPr>
        <w:pStyle w:val="4"/>
        <w:numPr>
          <w:ilvl w:val="2"/>
          <w:numId w:val="0"/>
        </w:numPr>
        <w:spacing w:before="120"/>
      </w:pPr>
      <w:bookmarkStart w:id="93" w:name="_Toc489977042"/>
      <w:bookmarkStart w:id="94" w:name="_Toc496268086"/>
      <w:bookmarkStart w:id="95" w:name="_Toc515294473"/>
      <w:bookmarkStart w:id="96" w:name="_Toc484280825"/>
      <w:r>
        <w:rPr>
          <w:rFonts w:hint="eastAsia"/>
        </w:rPr>
        <w:t xml:space="preserve">3.6.2  </w:t>
      </w:r>
      <w:r>
        <w:t>工程实际完成水土保持投资</w:t>
      </w:r>
      <w:bookmarkEnd w:id="93"/>
      <w:bookmarkEnd w:id="94"/>
      <w:bookmarkEnd w:id="95"/>
      <w:bookmarkEnd w:id="96"/>
    </w:p>
    <w:p>
      <w:pPr>
        <w:spacing w:before="120"/>
        <w:ind w:firstLine="480"/>
        <w:rPr>
          <w:color w:val="000000" w:themeColor="text1"/>
        </w:rPr>
      </w:pPr>
      <w:r>
        <w:t>通过认真核查项目合同、有关凭证资料，</w:t>
      </w:r>
      <w:r>
        <w:rPr>
          <w:rFonts w:hint="eastAsia"/>
          <w:lang w:eastAsia="zh-CN"/>
        </w:rPr>
        <w:t>甘孜康定新都桥220kV临时变35kV配套工程</w:t>
      </w:r>
      <w:r>
        <w:rPr>
          <w:color w:val="000000" w:themeColor="text1"/>
        </w:rPr>
        <w:t>水土保持工程共完成投资</w:t>
      </w:r>
      <w:r>
        <w:rPr>
          <w:rFonts w:hint="eastAsia"/>
          <w:color w:val="000000" w:themeColor="text1"/>
          <w:lang w:val="en-US" w:eastAsia="zh-CN"/>
        </w:rPr>
        <w:t>23.46</w:t>
      </w:r>
      <w:r>
        <w:rPr>
          <w:color w:val="000000" w:themeColor="text1"/>
        </w:rPr>
        <w:t>万元（最终以审计部门的审计结果为准），其中主体工程中具有水土保持功能的项目投资为</w:t>
      </w:r>
      <w:r>
        <w:rPr>
          <w:rFonts w:hint="eastAsia"/>
          <w:color w:val="000000" w:themeColor="text1"/>
          <w:lang w:val="en-US" w:eastAsia="zh-CN"/>
        </w:rPr>
        <w:t>16.02</w:t>
      </w:r>
      <w:r>
        <w:rPr>
          <w:color w:val="000000" w:themeColor="text1"/>
        </w:rPr>
        <w:t>万元，新增水土保持投资为</w:t>
      </w:r>
      <w:r>
        <w:rPr>
          <w:rFonts w:hint="eastAsia"/>
          <w:color w:val="000000" w:themeColor="text1"/>
          <w:lang w:val="en-US" w:eastAsia="zh-CN"/>
        </w:rPr>
        <w:t>7.44</w:t>
      </w:r>
      <w:r>
        <w:rPr>
          <w:color w:val="000000" w:themeColor="text1"/>
        </w:rPr>
        <w:t>万元。新增</w:t>
      </w:r>
      <w:r>
        <w:rPr>
          <w:rFonts w:hint="eastAsia"/>
          <w:color w:val="000000" w:themeColor="text1"/>
          <w:lang w:val="en-US" w:eastAsia="zh-CN"/>
        </w:rPr>
        <w:t>水保</w:t>
      </w:r>
      <w:r>
        <w:rPr>
          <w:color w:val="000000" w:themeColor="text1"/>
        </w:rPr>
        <w:t>投资中植物措施0.</w:t>
      </w:r>
      <w:r>
        <w:rPr>
          <w:rFonts w:hint="eastAsia"/>
          <w:color w:val="000000" w:themeColor="text1"/>
          <w:lang w:val="en-US" w:eastAsia="zh-CN"/>
        </w:rPr>
        <w:t>20</w:t>
      </w:r>
      <w:r>
        <w:rPr>
          <w:color w:val="000000" w:themeColor="text1"/>
        </w:rPr>
        <w:t>万元，临时措施</w:t>
      </w:r>
      <w:r>
        <w:rPr>
          <w:rFonts w:hint="eastAsia"/>
          <w:color w:val="000000" w:themeColor="text1"/>
          <w:lang w:val="en-US" w:eastAsia="zh-CN"/>
        </w:rPr>
        <w:t>0.57</w:t>
      </w:r>
      <w:r>
        <w:rPr>
          <w:color w:val="000000" w:themeColor="text1"/>
        </w:rPr>
        <w:t>万元，独立费用</w:t>
      </w:r>
      <w:r>
        <w:rPr>
          <w:rFonts w:hint="eastAsia"/>
          <w:color w:val="000000" w:themeColor="text1"/>
          <w:lang w:val="en-US" w:eastAsia="zh-CN"/>
        </w:rPr>
        <w:t>6.34</w:t>
      </w:r>
      <w:r>
        <w:rPr>
          <w:color w:val="000000" w:themeColor="text1"/>
        </w:rPr>
        <w:t>万元（其中建设管理费</w:t>
      </w:r>
      <w:r>
        <w:rPr>
          <w:rFonts w:hint="eastAsia"/>
          <w:color w:val="000000" w:themeColor="text1"/>
        </w:rPr>
        <w:t>0.</w:t>
      </w:r>
      <w:r>
        <w:rPr>
          <w:rFonts w:hint="eastAsia"/>
          <w:color w:val="000000" w:themeColor="text1"/>
          <w:lang w:val="en-US" w:eastAsia="zh-CN"/>
        </w:rPr>
        <w:t>34</w:t>
      </w:r>
      <w:r>
        <w:rPr>
          <w:color w:val="000000" w:themeColor="text1"/>
        </w:rPr>
        <w:t>万元，科研勘测设计费</w:t>
      </w:r>
      <w:r>
        <w:rPr>
          <w:rFonts w:hint="eastAsia"/>
          <w:color w:val="000000" w:themeColor="text1"/>
          <w:lang w:val="en-US" w:eastAsia="zh-CN"/>
        </w:rPr>
        <w:t>3.00</w:t>
      </w:r>
      <w:r>
        <w:rPr>
          <w:color w:val="000000" w:themeColor="text1"/>
        </w:rPr>
        <w:t>万元，</w:t>
      </w:r>
      <w:r>
        <w:rPr>
          <w:rFonts w:hint="eastAsia"/>
          <w:color w:val="000000" w:themeColor="text1"/>
          <w:lang w:val="en-US" w:eastAsia="zh-CN"/>
        </w:rPr>
        <w:t>水土保持</w:t>
      </w:r>
      <w:r>
        <w:rPr>
          <w:rFonts w:hint="eastAsia"/>
          <w:color w:val="000000" w:themeColor="text1"/>
        </w:rPr>
        <w:t>设施</w:t>
      </w:r>
      <w:r>
        <w:rPr>
          <w:color w:val="000000" w:themeColor="text1"/>
        </w:rPr>
        <w:t>验收报告编制费</w:t>
      </w:r>
      <w:r>
        <w:rPr>
          <w:rFonts w:hint="eastAsia"/>
          <w:color w:val="000000" w:themeColor="text1"/>
          <w:lang w:val="en-US" w:eastAsia="zh-CN"/>
        </w:rPr>
        <w:t>3.00</w:t>
      </w:r>
      <w:r>
        <w:rPr>
          <w:color w:val="000000" w:themeColor="text1"/>
        </w:rPr>
        <w:t>万元），水土保持补偿费</w:t>
      </w:r>
      <w:r>
        <w:rPr>
          <w:rFonts w:hint="eastAsia"/>
          <w:color w:val="000000" w:themeColor="text1"/>
          <w:lang w:val="en-US" w:eastAsia="zh-CN"/>
        </w:rPr>
        <w:t>0.33</w:t>
      </w:r>
      <w:r>
        <w:rPr>
          <w:color w:val="000000" w:themeColor="text1"/>
        </w:rPr>
        <w:t>万元。</w:t>
      </w:r>
      <w:r>
        <w:rPr>
          <w:rFonts w:hint="eastAsia"/>
          <w:color w:val="000000" w:themeColor="text1"/>
        </w:rPr>
        <w:t>工程</w:t>
      </w:r>
      <w:r>
        <w:rPr>
          <w:color w:val="000000" w:themeColor="text1"/>
        </w:rPr>
        <w:t>实际完成水土保持投资详见表3.6-2。</w:t>
      </w:r>
    </w:p>
    <w:p>
      <w:pPr>
        <w:spacing w:before="120"/>
        <w:ind w:firstLine="480"/>
      </w:pPr>
    </w:p>
    <w:p>
      <w:pPr>
        <w:pStyle w:val="58"/>
        <w:spacing w:before="120"/>
        <w:rPr>
          <w:color w:val="auto"/>
        </w:rPr>
      </w:pPr>
      <w:r>
        <w:rPr>
          <w:color w:val="auto"/>
        </w:rPr>
        <w:t>实际完成的水土保持投资一览表  单位：万元</w:t>
      </w:r>
    </w:p>
    <w:p>
      <w:pPr>
        <w:pStyle w:val="13"/>
        <w:keepNext/>
      </w:pPr>
      <w:r>
        <w:t xml:space="preserve">表 </w:t>
      </w:r>
      <w:r>
        <w:rPr>
          <w:rFonts w:hint="eastAsia"/>
        </w:rPr>
        <w:t>3.6</w:t>
      </w:r>
      <w:r>
        <w:noBreakHyphen/>
      </w:r>
      <w:r>
        <w:fldChar w:fldCharType="begin"/>
      </w:r>
      <w:r>
        <w:instrText xml:space="preserve"> SEQ 表 \* ARABIC \s 2 </w:instrText>
      </w:r>
      <w:r>
        <w:fldChar w:fldCharType="separate"/>
      </w:r>
      <w:r>
        <w:t>2</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673"/>
        <w:gridCol w:w="2335"/>
        <w:gridCol w:w="1226"/>
        <w:gridCol w:w="1226"/>
        <w:gridCol w:w="738"/>
        <w:gridCol w:w="2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blHeader/>
        </w:trPr>
        <w:tc>
          <w:tcPr>
            <w:tcW w:w="673" w:type="dxa"/>
            <w:vMerge w:val="restart"/>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编号</w:t>
            </w:r>
          </w:p>
        </w:tc>
        <w:tc>
          <w:tcPr>
            <w:tcW w:w="2335" w:type="dxa"/>
            <w:vMerge w:val="restart"/>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工程或费用名称</w:t>
            </w:r>
          </w:p>
        </w:tc>
        <w:tc>
          <w:tcPr>
            <w:tcW w:w="3190" w:type="dxa"/>
            <w:gridSpan w:val="3"/>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实际完成投资</w:t>
            </w:r>
          </w:p>
        </w:tc>
        <w:tc>
          <w:tcPr>
            <w:tcW w:w="2130" w:type="dxa"/>
            <w:vMerge w:val="restart"/>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blHeader/>
        </w:trPr>
        <w:tc>
          <w:tcPr>
            <w:tcW w:w="673"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2335"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rPr>
              <w:t>主体</w:t>
            </w:r>
            <w:r>
              <w:rPr>
                <w:rFonts w:hint="eastAsia"/>
                <w:color w:val="auto"/>
                <w:sz w:val="18"/>
                <w:lang w:val="en-US" w:eastAsia="zh-CN"/>
              </w:rPr>
              <w:t>设计</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方案新增</w:t>
            </w: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合计</w:t>
            </w:r>
          </w:p>
        </w:tc>
        <w:tc>
          <w:tcPr>
            <w:tcW w:w="2130"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7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一</w:t>
            </w:r>
          </w:p>
        </w:tc>
        <w:tc>
          <w:tcPr>
            <w:tcW w:w="233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工程措施</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16.02</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16.02</w:t>
            </w:r>
          </w:p>
        </w:tc>
        <w:tc>
          <w:tcPr>
            <w:tcW w:w="213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7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1</w:t>
            </w:r>
          </w:p>
        </w:tc>
        <w:tc>
          <w:tcPr>
            <w:tcW w:w="2335"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color w:val="auto"/>
                <w:sz w:val="18"/>
                <w:lang w:eastAsia="zh-CN"/>
              </w:rPr>
            </w:pPr>
            <w:r>
              <w:rPr>
                <w:rFonts w:hint="eastAsia"/>
                <w:color w:val="auto"/>
                <w:sz w:val="18"/>
                <w:lang w:val="en-US" w:eastAsia="zh-CN"/>
              </w:rPr>
              <w:t>变电站及进站道路用地区</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16.02</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213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7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二</w:t>
            </w:r>
          </w:p>
        </w:tc>
        <w:tc>
          <w:tcPr>
            <w:tcW w:w="233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植物措施</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0</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0.20</w:t>
            </w: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0.20</w:t>
            </w:r>
          </w:p>
        </w:tc>
        <w:tc>
          <w:tcPr>
            <w:tcW w:w="213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73"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1</w:t>
            </w:r>
          </w:p>
        </w:tc>
        <w:tc>
          <w:tcPr>
            <w:tcW w:w="233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lang w:val="en-US" w:eastAsia="zh-CN"/>
              </w:rPr>
              <w:t>变电站及进站道路用地区</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0</w:t>
            </w:r>
            <w:r>
              <w:rPr>
                <w:color w:val="auto"/>
                <w:sz w:val="18"/>
              </w:rPr>
              <w:t>　</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0.20</w:t>
            </w: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213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7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三</w:t>
            </w:r>
          </w:p>
        </w:tc>
        <w:tc>
          <w:tcPr>
            <w:tcW w:w="233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监测措施</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0</w:t>
            </w:r>
            <w:r>
              <w:rPr>
                <w:color w:val="auto"/>
                <w:sz w:val="18"/>
              </w:rPr>
              <w:t>　</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val="en-US" w:eastAsia="zh-CN"/>
              </w:rPr>
            </w:pPr>
            <w:r>
              <w:rPr>
                <w:rFonts w:hint="eastAsia"/>
                <w:color w:val="auto"/>
                <w:sz w:val="18"/>
                <w:lang w:val="en-US" w:eastAsia="zh-CN"/>
              </w:rPr>
              <w:t>0</w:t>
            </w: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val="en-US" w:eastAsia="zh-CN"/>
              </w:rPr>
            </w:pPr>
            <w:r>
              <w:rPr>
                <w:rFonts w:hint="eastAsia"/>
                <w:color w:val="auto"/>
                <w:sz w:val="18"/>
                <w:lang w:val="en-US" w:eastAsia="zh-CN"/>
              </w:rPr>
              <w:t>0</w:t>
            </w:r>
          </w:p>
        </w:tc>
        <w:tc>
          <w:tcPr>
            <w:tcW w:w="2130" w:type="dxa"/>
            <w:vMerge w:val="restart"/>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根据川水函</w:t>
            </w:r>
            <w:r>
              <w:rPr>
                <w:color w:val="auto"/>
                <w:sz w:val="18"/>
              </w:rPr>
              <w:t>[2018]887</w:t>
            </w:r>
            <w:r>
              <w:rPr>
                <w:rFonts w:hint="eastAsia"/>
                <w:color w:val="auto"/>
                <w:sz w:val="18"/>
              </w:rPr>
              <w:t>号文，征占地</w:t>
            </w:r>
            <w:r>
              <w:rPr>
                <w:color w:val="auto"/>
                <w:sz w:val="18"/>
              </w:rPr>
              <w:t>10</w:t>
            </w:r>
            <w:r>
              <w:rPr>
                <w:rFonts w:hint="eastAsia"/>
                <w:color w:val="auto"/>
                <w:sz w:val="18"/>
              </w:rPr>
              <w:t>公顷以下项目可不提供监测报告，该部分费</w:t>
            </w:r>
            <w:r>
              <w:rPr>
                <w:rFonts w:hint="eastAsia"/>
                <w:color w:val="auto"/>
                <w:sz w:val="18"/>
                <w:lang w:val="en-US" w:eastAsia="zh-CN"/>
              </w:rPr>
              <w:t>用</w:t>
            </w:r>
            <w:r>
              <w:rPr>
                <w:rFonts w:hint="eastAsia"/>
                <w:color w:val="auto"/>
                <w:sz w:val="18"/>
              </w:rPr>
              <w:t>不再计列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7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1</w:t>
            </w:r>
          </w:p>
        </w:tc>
        <w:tc>
          <w:tcPr>
            <w:tcW w:w="233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设备及安装费</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2130"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7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2</w:t>
            </w:r>
          </w:p>
        </w:tc>
        <w:tc>
          <w:tcPr>
            <w:tcW w:w="233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建设期观测运行费</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2130"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7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四</w:t>
            </w:r>
          </w:p>
        </w:tc>
        <w:tc>
          <w:tcPr>
            <w:tcW w:w="233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临时措施</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0</w:t>
            </w:r>
            <w:r>
              <w:rPr>
                <w:color w:val="auto"/>
                <w:sz w:val="18"/>
              </w:rPr>
              <w:t>　</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0.57</w:t>
            </w: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0.57</w:t>
            </w:r>
          </w:p>
        </w:tc>
        <w:tc>
          <w:tcPr>
            <w:tcW w:w="213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73"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1</w:t>
            </w:r>
          </w:p>
        </w:tc>
        <w:tc>
          <w:tcPr>
            <w:tcW w:w="233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lang w:val="en-US" w:eastAsia="zh-CN"/>
              </w:rPr>
              <w:t>电缆沟用地区</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0.25</w:t>
            </w: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213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73"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2</w:t>
            </w:r>
          </w:p>
        </w:tc>
        <w:tc>
          <w:tcPr>
            <w:tcW w:w="233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其他临时工程</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0.32</w:t>
            </w: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213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7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五</w:t>
            </w:r>
          </w:p>
        </w:tc>
        <w:tc>
          <w:tcPr>
            <w:tcW w:w="233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独立费用</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0</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6.34</w:t>
            </w: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6.34</w:t>
            </w:r>
          </w:p>
        </w:tc>
        <w:tc>
          <w:tcPr>
            <w:tcW w:w="213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7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1</w:t>
            </w:r>
          </w:p>
        </w:tc>
        <w:tc>
          <w:tcPr>
            <w:tcW w:w="233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建设管理费</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0.34</w:t>
            </w: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213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7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2</w:t>
            </w:r>
          </w:p>
        </w:tc>
        <w:tc>
          <w:tcPr>
            <w:tcW w:w="233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科研勘测设计费</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3.00</w:t>
            </w: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213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73"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3</w:t>
            </w:r>
          </w:p>
        </w:tc>
        <w:tc>
          <w:tcPr>
            <w:tcW w:w="233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lang w:val="en-US" w:eastAsia="zh-CN"/>
              </w:rPr>
              <w:t>水土保持</w:t>
            </w:r>
            <w:r>
              <w:rPr>
                <w:rFonts w:hint="eastAsia"/>
                <w:color w:val="auto"/>
                <w:sz w:val="18"/>
              </w:rPr>
              <w:t>设施验收费</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3.00</w:t>
            </w: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213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7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六</w:t>
            </w:r>
          </w:p>
        </w:tc>
        <w:tc>
          <w:tcPr>
            <w:tcW w:w="233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基本预备费</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0</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0</w:t>
            </w: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0</w:t>
            </w:r>
          </w:p>
        </w:tc>
        <w:tc>
          <w:tcPr>
            <w:tcW w:w="213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工程已实施，不</w:t>
            </w:r>
            <w:r>
              <w:rPr>
                <w:rFonts w:hint="eastAsia"/>
                <w:color w:val="auto"/>
                <w:sz w:val="18"/>
                <w:lang w:val="en-US" w:eastAsia="zh-CN"/>
              </w:rPr>
              <w:t>再</w:t>
            </w:r>
            <w:r>
              <w:rPr>
                <w:rFonts w:hint="eastAsia"/>
                <w:color w:val="auto"/>
                <w:sz w:val="18"/>
              </w:rPr>
              <w:t>计列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73"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七</w:t>
            </w:r>
          </w:p>
        </w:tc>
        <w:tc>
          <w:tcPr>
            <w:tcW w:w="233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水土保持补偿费</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0</w:t>
            </w:r>
            <w:r>
              <w:rPr>
                <w:color w:val="auto"/>
                <w:sz w:val="18"/>
              </w:rPr>
              <w:t>　</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0.33</w:t>
            </w: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color w:val="auto"/>
                <w:sz w:val="18"/>
                <w:lang w:val="en-US"/>
              </w:rPr>
            </w:pPr>
            <w:r>
              <w:rPr>
                <w:rFonts w:hint="eastAsia"/>
                <w:color w:val="auto"/>
                <w:sz w:val="18"/>
                <w:lang w:val="en-US" w:eastAsia="zh-CN"/>
              </w:rPr>
              <w:t>0.33</w:t>
            </w:r>
          </w:p>
        </w:tc>
        <w:tc>
          <w:tcPr>
            <w:tcW w:w="213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008" w:type="dxa"/>
            <w:gridSpan w:val="2"/>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合计</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16.02</w:t>
            </w:r>
          </w:p>
        </w:tc>
        <w:tc>
          <w:tcPr>
            <w:tcW w:w="12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7.44</w:t>
            </w:r>
          </w:p>
        </w:tc>
        <w:tc>
          <w:tcPr>
            <w:tcW w:w="738"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23.46</w:t>
            </w:r>
          </w:p>
        </w:tc>
        <w:tc>
          <w:tcPr>
            <w:tcW w:w="213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bl>
    <w:p>
      <w:pPr>
        <w:pStyle w:val="58"/>
        <w:spacing w:before="120"/>
        <w:rPr>
          <w:color w:val="auto"/>
        </w:rPr>
      </w:pPr>
    </w:p>
    <w:p>
      <w:pPr>
        <w:pStyle w:val="4"/>
        <w:numPr>
          <w:ilvl w:val="2"/>
          <w:numId w:val="0"/>
        </w:numPr>
        <w:spacing w:before="120"/>
      </w:pPr>
      <w:bookmarkStart w:id="97" w:name="_Toc515294474"/>
      <w:r>
        <w:rPr>
          <w:rFonts w:hint="eastAsia"/>
        </w:rPr>
        <w:t xml:space="preserve">3.6.3  </w:t>
      </w:r>
      <w:r>
        <w:t>方案批复投资与实际完成投资对比</w:t>
      </w:r>
      <w:bookmarkEnd w:id="97"/>
    </w:p>
    <w:p>
      <w:pPr>
        <w:spacing w:before="120"/>
        <w:ind w:firstLine="480"/>
      </w:pPr>
      <w:r>
        <w:t>本工程实际完成水土保持投资</w:t>
      </w:r>
      <w:r>
        <w:rPr>
          <w:rFonts w:hint="eastAsia"/>
          <w:lang w:val="en-US" w:eastAsia="zh-CN"/>
        </w:rPr>
        <w:t>23.46</w:t>
      </w:r>
      <w:r>
        <w:t>万元，比批复的水土保持投资减少</w:t>
      </w:r>
      <w:r>
        <w:rPr>
          <w:rFonts w:hint="eastAsia"/>
          <w:lang w:val="en-US" w:eastAsia="zh-CN"/>
        </w:rPr>
        <w:t>2.06</w:t>
      </w:r>
      <w:r>
        <w:t>万元，其中主体已有水土保持措施投资增加0.</w:t>
      </w:r>
      <w:r>
        <w:rPr>
          <w:rFonts w:hint="eastAsia"/>
          <w:lang w:val="en-US" w:eastAsia="zh-CN"/>
        </w:rPr>
        <w:t>22</w:t>
      </w:r>
      <w:r>
        <w:t>万元，水保方案新增投资减少</w:t>
      </w:r>
      <w:r>
        <w:rPr>
          <w:rFonts w:hint="eastAsia"/>
          <w:lang w:val="en-US" w:eastAsia="zh-CN"/>
        </w:rPr>
        <w:t>2.28</w:t>
      </w:r>
      <w:r>
        <w:t>万元。水土保持方案批复投资与实际完成投资对比见表3.6-</w:t>
      </w:r>
      <w:r>
        <w:rPr>
          <w:rFonts w:hint="eastAsia"/>
        </w:rPr>
        <w:t>3</w:t>
      </w:r>
      <w:r>
        <w:t>。</w:t>
      </w:r>
    </w:p>
    <w:p>
      <w:pPr>
        <w:pStyle w:val="16"/>
      </w:pPr>
      <w:r>
        <w:t>水土保持方案批复投资与实际完成投资对比表   单位：万元</w:t>
      </w:r>
    </w:p>
    <w:p>
      <w:pPr>
        <w:pStyle w:val="13"/>
        <w:keepNext/>
      </w:pPr>
      <w:r>
        <w:t xml:space="preserve">表 </w:t>
      </w:r>
      <w:r>
        <w:rPr>
          <w:rFonts w:hint="eastAsia"/>
        </w:rPr>
        <w:t>3.6</w:t>
      </w:r>
      <w:r>
        <w:noBreakHyphen/>
      </w:r>
      <w:r>
        <w:rPr>
          <w:rFonts w:hint="eastAsia"/>
        </w:rPr>
        <w:t>3</w:t>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625"/>
        <w:gridCol w:w="2475"/>
        <w:gridCol w:w="926"/>
        <w:gridCol w:w="926"/>
        <w:gridCol w:w="1296"/>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blHeader/>
        </w:trPr>
        <w:tc>
          <w:tcPr>
            <w:tcW w:w="62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序号</w:t>
            </w:r>
          </w:p>
        </w:tc>
        <w:tc>
          <w:tcPr>
            <w:tcW w:w="247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工程名称</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方案批复投资</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实际完成投资</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增减</w:t>
            </w:r>
            <w:r>
              <w:rPr>
                <w:color w:val="auto"/>
                <w:sz w:val="18"/>
              </w:rPr>
              <w:t>(+</w:t>
            </w:r>
            <w:r>
              <w:rPr>
                <w:rFonts w:hint="eastAsia"/>
                <w:color w:val="auto"/>
                <w:sz w:val="18"/>
              </w:rPr>
              <w:t>，</w:t>
            </w:r>
            <w:r>
              <w:rPr>
                <w:color w:val="auto"/>
                <w:sz w:val="18"/>
              </w:rPr>
              <w:t>-)</w:t>
            </w:r>
          </w:p>
        </w:tc>
        <w:tc>
          <w:tcPr>
            <w:tcW w:w="208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100" w:type="dxa"/>
            <w:gridSpan w:val="2"/>
            <w:shd w:val="clear" w:color="auto" w:fill="auto"/>
            <w:vAlign w:val="center"/>
          </w:tcPr>
          <w:p>
            <w:pPr>
              <w:pStyle w:val="53"/>
              <w:keepNext w:val="0"/>
              <w:keepLines w:val="0"/>
              <w:widowControl/>
              <w:suppressLineNumbers w:val="0"/>
              <w:spacing w:before="0" w:beforeAutospacing="0" w:after="0" w:afterAutospacing="0"/>
              <w:ind w:left="0" w:right="0"/>
              <w:rPr>
                <w:b/>
                <w:bCs/>
                <w:color w:val="auto"/>
                <w:sz w:val="18"/>
              </w:rPr>
            </w:pPr>
            <w:r>
              <w:rPr>
                <w:rFonts w:hint="eastAsia"/>
                <w:b/>
                <w:bCs/>
                <w:color w:val="auto"/>
                <w:sz w:val="18"/>
              </w:rPr>
              <w:t>第一部分 主体设计投资</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eastAsia="仿宋_GB2312"/>
                <w:b/>
                <w:bCs/>
                <w:color w:val="auto"/>
                <w:sz w:val="18"/>
                <w:lang w:val="en-US" w:eastAsia="zh-CN"/>
              </w:rPr>
            </w:pPr>
            <w:r>
              <w:rPr>
                <w:rFonts w:hint="eastAsia"/>
                <w:b/>
                <w:bCs/>
                <w:color w:val="auto"/>
                <w:sz w:val="18"/>
                <w:lang w:val="en-US" w:eastAsia="zh-CN"/>
              </w:rPr>
              <w:t>15.80</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eastAsia="仿宋_GB2312"/>
                <w:b/>
                <w:bCs/>
                <w:color w:val="auto"/>
                <w:sz w:val="18"/>
                <w:lang w:val="en-US" w:eastAsia="zh-CN"/>
              </w:rPr>
            </w:pPr>
            <w:r>
              <w:rPr>
                <w:rFonts w:hint="eastAsia"/>
                <w:b/>
                <w:bCs/>
                <w:color w:val="auto"/>
                <w:sz w:val="18"/>
                <w:lang w:val="en-US" w:eastAsia="zh-CN"/>
              </w:rPr>
              <w:t>16.02</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b/>
                <w:bCs/>
                <w:color w:val="auto"/>
                <w:sz w:val="18"/>
                <w:lang w:val="en-US" w:eastAsia="zh-CN"/>
              </w:rPr>
            </w:pPr>
            <w:r>
              <w:rPr>
                <w:rFonts w:hint="eastAsia"/>
                <w:b/>
                <w:bCs/>
                <w:color w:val="auto"/>
                <w:sz w:val="18"/>
                <w:lang w:val="en-US" w:eastAsia="zh-CN"/>
              </w:rPr>
              <w:t>+0.22</w:t>
            </w:r>
          </w:p>
        </w:tc>
        <w:tc>
          <w:tcPr>
            <w:tcW w:w="2080" w:type="dxa"/>
            <w:shd w:val="clear" w:color="auto" w:fill="auto"/>
            <w:vAlign w:val="center"/>
          </w:tcPr>
          <w:p>
            <w:pPr>
              <w:pStyle w:val="53"/>
              <w:keepNext w:val="0"/>
              <w:keepLines w:val="0"/>
              <w:widowControl/>
              <w:suppressLineNumbers w:val="0"/>
              <w:spacing w:before="0" w:beforeAutospacing="0" w:after="0" w:afterAutospacing="0"/>
              <w:ind w:left="0" w:right="0"/>
              <w:rPr>
                <w:b/>
                <w:bCs/>
                <w:color w:val="auto"/>
                <w:sz w:val="18"/>
              </w:rPr>
            </w:pPr>
            <w:r>
              <w:rPr>
                <w:rFonts w:hint="eastAsia"/>
                <w:b/>
                <w:bCs/>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2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一</w:t>
            </w:r>
          </w:p>
        </w:tc>
        <w:tc>
          <w:tcPr>
            <w:tcW w:w="247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工程措施</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eastAsia="仿宋_GB2312"/>
                <w:color w:val="auto"/>
                <w:sz w:val="18"/>
                <w:lang w:val="en-US" w:eastAsia="zh-CN"/>
              </w:rPr>
            </w:pPr>
            <w:r>
              <w:rPr>
                <w:rFonts w:hint="eastAsia"/>
                <w:color w:val="auto"/>
                <w:sz w:val="18"/>
                <w:lang w:val="en-US" w:eastAsia="zh-CN"/>
              </w:rPr>
              <w:t>15.80</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eastAsia="仿宋_GB2312"/>
                <w:color w:val="auto"/>
                <w:sz w:val="18"/>
                <w:lang w:val="en-US" w:eastAsia="zh-CN"/>
              </w:rPr>
            </w:pPr>
            <w:r>
              <w:rPr>
                <w:rFonts w:hint="eastAsia"/>
                <w:color w:val="auto"/>
                <w:sz w:val="18"/>
                <w:lang w:val="en-US" w:eastAsia="zh-CN"/>
              </w:rPr>
              <w:t>16.02</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p>
        </w:tc>
        <w:tc>
          <w:tcPr>
            <w:tcW w:w="208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2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1</w:t>
            </w:r>
          </w:p>
        </w:tc>
        <w:tc>
          <w:tcPr>
            <w:tcW w:w="2475"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变电站及进站道路用地区</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15.80</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16.02</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c>
          <w:tcPr>
            <w:tcW w:w="208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100" w:type="dxa"/>
            <w:gridSpan w:val="2"/>
            <w:shd w:val="clear" w:color="auto" w:fill="auto"/>
            <w:vAlign w:val="center"/>
          </w:tcPr>
          <w:p>
            <w:pPr>
              <w:pStyle w:val="53"/>
              <w:keepNext w:val="0"/>
              <w:keepLines w:val="0"/>
              <w:widowControl/>
              <w:suppressLineNumbers w:val="0"/>
              <w:spacing w:before="0" w:beforeAutospacing="0" w:after="0" w:afterAutospacing="0"/>
              <w:ind w:left="0" w:right="0"/>
              <w:rPr>
                <w:b/>
                <w:bCs/>
                <w:color w:val="auto"/>
                <w:sz w:val="18"/>
              </w:rPr>
            </w:pPr>
            <w:r>
              <w:rPr>
                <w:rFonts w:hint="eastAsia"/>
                <w:b/>
                <w:bCs/>
                <w:color w:val="auto"/>
                <w:sz w:val="18"/>
              </w:rPr>
              <w:t>第二部分</w:t>
            </w:r>
            <w:r>
              <w:rPr>
                <w:b/>
                <w:bCs/>
                <w:color w:val="auto"/>
                <w:sz w:val="18"/>
              </w:rPr>
              <w:t xml:space="preserve"> </w:t>
            </w:r>
            <w:r>
              <w:rPr>
                <w:rFonts w:hint="eastAsia"/>
                <w:b/>
                <w:bCs/>
                <w:color w:val="auto"/>
                <w:sz w:val="18"/>
              </w:rPr>
              <w:t>方案新增投资</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b/>
                <w:bCs/>
                <w:color w:val="auto"/>
                <w:sz w:val="18"/>
                <w:lang w:val="en-US" w:eastAsia="zh-CN"/>
              </w:rPr>
            </w:pPr>
            <w:r>
              <w:rPr>
                <w:rFonts w:hint="eastAsia"/>
                <w:b/>
                <w:bCs/>
                <w:color w:val="auto"/>
                <w:sz w:val="18"/>
                <w:lang w:val="en-US" w:eastAsia="zh-CN"/>
              </w:rPr>
              <w:t>9.72</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b/>
                <w:bCs/>
                <w:color w:val="auto"/>
                <w:sz w:val="18"/>
                <w:lang w:val="en-US" w:eastAsia="zh-CN"/>
              </w:rPr>
            </w:pPr>
            <w:r>
              <w:rPr>
                <w:rFonts w:hint="eastAsia"/>
                <w:b/>
                <w:bCs/>
                <w:color w:val="auto"/>
                <w:sz w:val="18"/>
                <w:lang w:val="en-US" w:eastAsia="zh-CN"/>
              </w:rPr>
              <w:t>7.44</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b/>
                <w:bCs/>
                <w:color w:val="auto"/>
                <w:sz w:val="18"/>
                <w:lang w:val="en-US" w:eastAsia="zh-CN"/>
              </w:rPr>
            </w:pPr>
            <w:r>
              <w:rPr>
                <w:rFonts w:hint="eastAsia"/>
                <w:b/>
                <w:bCs/>
                <w:color w:val="auto"/>
                <w:sz w:val="18"/>
                <w:lang w:val="en-US" w:eastAsia="zh-CN"/>
              </w:rPr>
              <w:t>-2.28</w:t>
            </w:r>
          </w:p>
        </w:tc>
        <w:tc>
          <w:tcPr>
            <w:tcW w:w="2080" w:type="dxa"/>
            <w:shd w:val="clear" w:color="auto" w:fill="auto"/>
            <w:vAlign w:val="center"/>
          </w:tcPr>
          <w:p>
            <w:pPr>
              <w:pStyle w:val="53"/>
              <w:keepNext w:val="0"/>
              <w:keepLines w:val="0"/>
              <w:widowControl/>
              <w:suppressLineNumbers w:val="0"/>
              <w:spacing w:before="0" w:beforeAutospacing="0" w:after="0" w:afterAutospacing="0"/>
              <w:ind w:left="0" w:right="0"/>
              <w:rPr>
                <w:b/>
                <w:bCs/>
                <w:color w:val="auto"/>
                <w:sz w:val="18"/>
              </w:rPr>
            </w:pPr>
            <w:r>
              <w:rPr>
                <w:b/>
                <w:bCs/>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2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一</w:t>
            </w:r>
          </w:p>
        </w:tc>
        <w:tc>
          <w:tcPr>
            <w:tcW w:w="247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lang w:val="en-US" w:eastAsia="zh-CN"/>
              </w:rPr>
              <w:t>植物</w:t>
            </w:r>
            <w:r>
              <w:rPr>
                <w:rFonts w:hint="eastAsia"/>
                <w:color w:val="auto"/>
                <w:sz w:val="18"/>
              </w:rPr>
              <w:t>措施</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0.13</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0.20</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+0.07</w:t>
            </w:r>
          </w:p>
        </w:tc>
        <w:tc>
          <w:tcPr>
            <w:tcW w:w="208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2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1</w:t>
            </w:r>
          </w:p>
        </w:tc>
        <w:tc>
          <w:tcPr>
            <w:tcW w:w="2475"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变电站及进站道路用地区</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0.13</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0.20</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+0.07</w:t>
            </w:r>
          </w:p>
        </w:tc>
        <w:tc>
          <w:tcPr>
            <w:tcW w:w="208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lang w:val="en-US" w:eastAsia="zh-CN"/>
              </w:rPr>
              <w:t>绿化根据现场实际立地条件，增加了撒播植草量</w:t>
            </w: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25"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二</w:t>
            </w:r>
          </w:p>
        </w:tc>
        <w:tc>
          <w:tcPr>
            <w:tcW w:w="247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监测措施</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2.50</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color w:val="auto"/>
                <w:sz w:val="18"/>
                <w:lang w:val="en-US" w:eastAsia="zh-CN"/>
              </w:rPr>
            </w:pPr>
            <w:r>
              <w:rPr>
                <w:rFonts w:hint="eastAsia"/>
                <w:color w:val="auto"/>
                <w:sz w:val="18"/>
                <w:lang w:val="en-US" w:eastAsia="zh-CN"/>
              </w:rPr>
              <w:t>0　</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color w:val="auto"/>
                <w:sz w:val="18"/>
                <w:lang w:val="en-US" w:eastAsia="zh-CN"/>
              </w:rPr>
            </w:pPr>
            <w:r>
              <w:rPr>
                <w:rFonts w:hint="eastAsia"/>
                <w:color w:val="auto"/>
                <w:sz w:val="18"/>
                <w:lang w:val="en-US" w:eastAsia="zh-CN"/>
              </w:rPr>
              <w:t>-2.50</w:t>
            </w:r>
          </w:p>
        </w:tc>
        <w:tc>
          <w:tcPr>
            <w:tcW w:w="208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本项目按照川水函</w:t>
            </w:r>
            <w:r>
              <w:rPr>
                <w:color w:val="auto"/>
                <w:sz w:val="18"/>
              </w:rPr>
              <w:t>[2018]887</w:t>
            </w:r>
            <w:r>
              <w:rPr>
                <w:rFonts w:hint="eastAsia"/>
                <w:color w:val="auto"/>
                <w:sz w:val="18"/>
              </w:rPr>
              <w:t>号文可不提供监测总结报告，相应费用不再计列</w:t>
            </w: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25"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三</w:t>
            </w:r>
          </w:p>
        </w:tc>
        <w:tc>
          <w:tcPr>
            <w:tcW w:w="247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临时措施</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0.17</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0.57</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+0.40</w:t>
            </w:r>
          </w:p>
        </w:tc>
        <w:tc>
          <w:tcPr>
            <w:tcW w:w="208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2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1</w:t>
            </w:r>
          </w:p>
        </w:tc>
        <w:tc>
          <w:tcPr>
            <w:tcW w:w="2475"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电缆沟用地区</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0.12</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0.25</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p>
        </w:tc>
        <w:tc>
          <w:tcPr>
            <w:tcW w:w="2080" w:type="dxa"/>
            <w:vMerge w:val="restart"/>
            <w:shd w:val="clear" w:color="auto" w:fill="auto"/>
            <w:vAlign w:val="center"/>
          </w:tcPr>
          <w:p>
            <w:pPr>
              <w:pStyle w:val="53"/>
              <w:keepNext w:val="0"/>
              <w:keepLines w:val="0"/>
              <w:widowControl/>
              <w:suppressLineNumbers w:val="0"/>
              <w:spacing w:before="0" w:beforeAutospacing="0" w:after="0" w:afterAutospacing="0"/>
              <w:ind w:left="0" w:right="0"/>
              <w:jc w:val="center"/>
              <w:rPr>
                <w:rFonts w:hint="default"/>
                <w:color w:val="auto"/>
                <w:sz w:val="18"/>
                <w:lang w:val="en-US" w:eastAsia="zh-CN"/>
              </w:rPr>
            </w:pPr>
            <w:r>
              <w:rPr>
                <w:rFonts w:hint="eastAsia"/>
                <w:color w:val="auto"/>
                <w:sz w:val="18"/>
                <w:lang w:val="en-US" w:eastAsia="zh-CN"/>
              </w:rPr>
              <w:t>根据实际增加了临时遮盖措施</w:t>
            </w:r>
          </w:p>
          <w:p>
            <w:pPr>
              <w:pStyle w:val="53"/>
              <w:keepNext w:val="0"/>
              <w:keepLines w:val="0"/>
              <w:widowControl/>
              <w:suppressLineNumbers w:val="0"/>
              <w:spacing w:before="0" w:beforeAutospacing="0" w:after="0" w:afterAutospacing="0"/>
              <w:ind w:left="0" w:right="0"/>
              <w:jc w:val="center"/>
              <w:rPr>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25"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2</w:t>
            </w:r>
          </w:p>
        </w:tc>
        <w:tc>
          <w:tcPr>
            <w:tcW w:w="247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其他临时工程</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0.05</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0.32</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p>
        </w:tc>
        <w:tc>
          <w:tcPr>
            <w:tcW w:w="2080"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25"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四</w:t>
            </w:r>
          </w:p>
        </w:tc>
        <w:tc>
          <w:tcPr>
            <w:tcW w:w="247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独立费用</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color w:val="auto"/>
                <w:sz w:val="18"/>
                <w:lang w:val="en-US" w:eastAsia="zh-CN"/>
              </w:rPr>
            </w:pPr>
            <w:r>
              <w:rPr>
                <w:rFonts w:hint="eastAsia"/>
                <w:color w:val="auto"/>
                <w:sz w:val="18"/>
                <w:lang w:val="en-US" w:eastAsia="zh-CN"/>
              </w:rPr>
              <w:t>6.06</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6.34</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+0.28</w:t>
            </w:r>
          </w:p>
        </w:tc>
        <w:tc>
          <w:tcPr>
            <w:tcW w:w="208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2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1</w:t>
            </w:r>
          </w:p>
        </w:tc>
        <w:tc>
          <w:tcPr>
            <w:tcW w:w="247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建设管理费</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color w:val="auto"/>
                <w:sz w:val="18"/>
                <w:lang w:val="en-US" w:eastAsia="zh-CN"/>
              </w:rPr>
            </w:pPr>
            <w:r>
              <w:rPr>
                <w:rFonts w:hint="eastAsia"/>
                <w:color w:val="auto"/>
                <w:sz w:val="18"/>
                <w:lang w:val="en-US" w:eastAsia="zh-CN"/>
              </w:rPr>
              <w:t>0.06</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0.34</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p>
        </w:tc>
        <w:tc>
          <w:tcPr>
            <w:tcW w:w="208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根据实际投资计列</w:t>
            </w: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2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2</w:t>
            </w:r>
          </w:p>
        </w:tc>
        <w:tc>
          <w:tcPr>
            <w:tcW w:w="247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科研勘测设计费</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color w:val="auto"/>
                <w:sz w:val="18"/>
                <w:lang w:val="en-US" w:eastAsia="zh-CN"/>
              </w:rPr>
            </w:pPr>
            <w:r>
              <w:rPr>
                <w:rFonts w:hint="eastAsia"/>
                <w:color w:val="auto"/>
                <w:sz w:val="18"/>
                <w:lang w:val="en-US" w:eastAsia="zh-CN"/>
              </w:rPr>
              <w:t>3.00</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3.00</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p>
        </w:tc>
        <w:tc>
          <w:tcPr>
            <w:tcW w:w="208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lang w:val="en-US" w:eastAsia="zh-CN"/>
              </w:rPr>
              <w:t>根据实际投资计列</w:t>
            </w: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25"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3</w:t>
            </w:r>
          </w:p>
        </w:tc>
        <w:tc>
          <w:tcPr>
            <w:tcW w:w="247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lang w:eastAsia="zh-CN"/>
              </w:rPr>
              <w:t>完工</w:t>
            </w:r>
            <w:r>
              <w:rPr>
                <w:rFonts w:hint="eastAsia"/>
                <w:color w:val="auto"/>
                <w:sz w:val="18"/>
              </w:rPr>
              <w:t>验收技术评估费</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color w:val="auto"/>
                <w:sz w:val="18"/>
                <w:lang w:val="en-US" w:eastAsia="zh-CN"/>
              </w:rPr>
            </w:pPr>
            <w:r>
              <w:rPr>
                <w:rFonts w:hint="eastAsia"/>
                <w:color w:val="auto"/>
                <w:sz w:val="18"/>
                <w:lang w:val="en-US" w:eastAsia="zh-CN"/>
              </w:rPr>
              <w:t>3.00</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ascii="Times New Roman" w:hAnsi="Times New Roman" w:eastAsia="仿宋_GB2312" w:cstheme="minorBidi"/>
                <w:color w:val="auto"/>
                <w:kern w:val="0"/>
                <w:sz w:val="18"/>
                <w:szCs w:val="18"/>
                <w:lang w:val="en-US" w:eastAsia="zh-CN" w:bidi="ar-SA"/>
              </w:rPr>
            </w:pPr>
            <w:r>
              <w:rPr>
                <w:rFonts w:hint="eastAsia"/>
                <w:color w:val="auto"/>
                <w:sz w:val="18"/>
                <w:lang w:val="en-US" w:eastAsia="zh-CN"/>
              </w:rPr>
              <w:t>3.00</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p>
        </w:tc>
        <w:tc>
          <w:tcPr>
            <w:tcW w:w="208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lang w:val="en-US" w:eastAsia="zh-CN"/>
              </w:rPr>
              <w:t>根据实际投资计列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25"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五</w:t>
            </w:r>
          </w:p>
        </w:tc>
        <w:tc>
          <w:tcPr>
            <w:tcW w:w="247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基本预备费</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0.53</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0</w:t>
            </w:r>
            <w:r>
              <w:rPr>
                <w:color w:val="auto"/>
                <w:sz w:val="18"/>
              </w:rPr>
              <w:t>　</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color w:val="auto"/>
                <w:sz w:val="18"/>
              </w:rPr>
              <w:t>-</w:t>
            </w:r>
            <w:r>
              <w:rPr>
                <w:rFonts w:hint="eastAsia"/>
                <w:color w:val="auto"/>
                <w:sz w:val="18"/>
                <w:lang w:val="en-US" w:eastAsia="zh-CN"/>
              </w:rPr>
              <w:t>0.53</w:t>
            </w:r>
          </w:p>
        </w:tc>
        <w:tc>
          <w:tcPr>
            <w:tcW w:w="208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工程完成，预备费取消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625"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六</w:t>
            </w:r>
          </w:p>
        </w:tc>
        <w:tc>
          <w:tcPr>
            <w:tcW w:w="2475"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水土保持补偿费</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0.33</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0.33</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c>
          <w:tcPr>
            <w:tcW w:w="2080" w:type="dxa"/>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3100" w:type="dxa"/>
            <w:gridSpan w:val="2"/>
            <w:shd w:val="clear" w:color="auto" w:fill="auto"/>
            <w:vAlign w:val="center"/>
          </w:tcPr>
          <w:p>
            <w:pPr>
              <w:pStyle w:val="53"/>
              <w:keepNext w:val="0"/>
              <w:keepLines w:val="0"/>
              <w:widowControl/>
              <w:suppressLineNumbers w:val="0"/>
              <w:spacing w:before="0" w:beforeAutospacing="0" w:after="0" w:afterAutospacing="0"/>
              <w:ind w:left="0" w:right="0"/>
              <w:rPr>
                <w:b/>
                <w:bCs/>
                <w:color w:val="auto"/>
                <w:sz w:val="18"/>
              </w:rPr>
            </w:pPr>
            <w:r>
              <w:rPr>
                <w:rFonts w:hint="eastAsia"/>
                <w:b/>
                <w:bCs/>
                <w:color w:val="auto"/>
                <w:sz w:val="18"/>
              </w:rPr>
              <w:t>合计</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b/>
                <w:bCs/>
                <w:color w:val="auto"/>
                <w:sz w:val="18"/>
                <w:lang w:val="en-US" w:eastAsia="zh-CN"/>
              </w:rPr>
            </w:pPr>
            <w:r>
              <w:rPr>
                <w:rFonts w:hint="eastAsia"/>
                <w:b/>
                <w:bCs/>
                <w:color w:val="auto"/>
                <w:sz w:val="18"/>
                <w:lang w:val="en-US" w:eastAsia="zh-CN"/>
              </w:rPr>
              <w:t>25.52</w:t>
            </w:r>
          </w:p>
        </w:tc>
        <w:tc>
          <w:tcPr>
            <w:tcW w:w="92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b/>
                <w:bCs/>
                <w:color w:val="auto"/>
                <w:sz w:val="18"/>
                <w:lang w:val="en-US" w:eastAsia="zh-CN"/>
              </w:rPr>
            </w:pPr>
            <w:r>
              <w:rPr>
                <w:rFonts w:hint="eastAsia"/>
                <w:b/>
                <w:bCs/>
                <w:color w:val="auto"/>
                <w:sz w:val="18"/>
                <w:lang w:val="en-US" w:eastAsia="zh-CN"/>
              </w:rPr>
              <w:t>23.46</w:t>
            </w:r>
          </w:p>
        </w:tc>
        <w:tc>
          <w:tcPr>
            <w:tcW w:w="129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b/>
                <w:bCs/>
                <w:color w:val="auto"/>
                <w:sz w:val="18"/>
                <w:lang w:val="en-US" w:eastAsia="zh-CN"/>
              </w:rPr>
            </w:pPr>
            <w:r>
              <w:rPr>
                <w:rFonts w:hint="eastAsia"/>
                <w:b/>
                <w:bCs/>
                <w:color w:val="auto"/>
                <w:sz w:val="18"/>
                <w:lang w:val="en-US" w:eastAsia="zh-CN"/>
              </w:rPr>
              <w:t>-2.06</w:t>
            </w:r>
          </w:p>
        </w:tc>
        <w:tc>
          <w:tcPr>
            <w:tcW w:w="2080" w:type="dxa"/>
            <w:shd w:val="clear" w:color="auto" w:fill="auto"/>
            <w:vAlign w:val="center"/>
          </w:tcPr>
          <w:p>
            <w:pPr>
              <w:pStyle w:val="53"/>
              <w:keepNext w:val="0"/>
              <w:keepLines w:val="0"/>
              <w:widowControl/>
              <w:suppressLineNumbers w:val="0"/>
              <w:spacing w:before="0" w:beforeAutospacing="0" w:after="0" w:afterAutospacing="0"/>
              <w:ind w:left="0" w:right="0"/>
              <w:rPr>
                <w:b/>
                <w:bCs/>
                <w:color w:val="auto"/>
                <w:sz w:val="18"/>
              </w:rPr>
            </w:pPr>
            <w:r>
              <w:rPr>
                <w:b/>
                <w:bCs/>
                <w:color w:val="auto"/>
                <w:sz w:val="18"/>
              </w:rPr>
              <w:t>　</w:t>
            </w:r>
          </w:p>
        </w:tc>
      </w:tr>
    </w:tbl>
    <w:p>
      <w:pPr>
        <w:pStyle w:val="4"/>
        <w:numPr>
          <w:ilvl w:val="2"/>
          <w:numId w:val="0"/>
        </w:numPr>
        <w:spacing w:before="120"/>
      </w:pPr>
      <w:bookmarkStart w:id="98" w:name="_Toc11682"/>
      <w:bookmarkStart w:id="99" w:name="_Toc515294475"/>
      <w:bookmarkStart w:id="100" w:name="_Toc496268089"/>
      <w:bookmarkStart w:id="101" w:name="_Toc489977045"/>
      <w:bookmarkStart w:id="102" w:name="_Toc484280827"/>
      <w:bookmarkStart w:id="103" w:name="_Toc7313"/>
      <w:bookmarkStart w:id="104" w:name="_Toc25345"/>
      <w:r>
        <w:rPr>
          <w:rFonts w:hint="eastAsia"/>
        </w:rPr>
        <w:t xml:space="preserve">3.6.4  </w:t>
      </w:r>
      <w:r>
        <w:t>水土保持投资分析</w:t>
      </w:r>
      <w:bookmarkEnd w:id="98"/>
      <w:bookmarkEnd w:id="99"/>
      <w:bookmarkEnd w:id="100"/>
      <w:bookmarkEnd w:id="101"/>
      <w:bookmarkEnd w:id="102"/>
      <w:bookmarkEnd w:id="103"/>
      <w:bookmarkEnd w:id="104"/>
    </w:p>
    <w:p>
      <w:pPr>
        <w:pStyle w:val="5"/>
        <w:numPr>
          <w:ilvl w:val="3"/>
          <w:numId w:val="0"/>
        </w:numPr>
        <w:spacing w:before="120"/>
      </w:pPr>
      <w:r>
        <w:rPr>
          <w:rFonts w:hint="eastAsia"/>
        </w:rPr>
        <w:t xml:space="preserve">3.6.4.1  </w:t>
      </w:r>
      <w:r>
        <w:t>主体已有水土保持措施投资变化原因分析</w:t>
      </w:r>
    </w:p>
    <w:p>
      <w:pPr>
        <w:spacing w:before="120"/>
        <w:ind w:firstLine="480"/>
      </w:pPr>
      <w:r>
        <w:t>主体设计</w:t>
      </w:r>
      <w:r>
        <w:rPr>
          <w:rFonts w:hint="eastAsia"/>
        </w:rPr>
        <w:t>的措施</w:t>
      </w:r>
      <w:r>
        <w:t>工程量较水保方案略有</w:t>
      </w:r>
      <w:r>
        <w:rPr>
          <w:rFonts w:hint="eastAsia"/>
        </w:rPr>
        <w:t>增加</w:t>
      </w:r>
      <w:r>
        <w:t>，投资增加</w:t>
      </w:r>
      <w:r>
        <w:rPr>
          <w:rFonts w:hint="eastAsia"/>
        </w:rPr>
        <w:t>0.</w:t>
      </w:r>
      <w:r>
        <w:rPr>
          <w:rFonts w:hint="eastAsia"/>
          <w:lang w:val="en-US" w:eastAsia="zh-CN"/>
        </w:rPr>
        <w:t>22</w:t>
      </w:r>
      <w:r>
        <w:t>万元。</w:t>
      </w:r>
    </w:p>
    <w:p>
      <w:pPr>
        <w:pStyle w:val="5"/>
        <w:numPr>
          <w:ilvl w:val="3"/>
          <w:numId w:val="0"/>
        </w:numPr>
        <w:spacing w:before="120"/>
      </w:pPr>
      <w:r>
        <w:rPr>
          <w:rFonts w:hint="eastAsia"/>
        </w:rPr>
        <w:t xml:space="preserve">3.6.4.2  </w:t>
      </w:r>
      <w:r>
        <w:t>方案新增水土保持措施投资变化原因分析</w:t>
      </w:r>
    </w:p>
    <w:p>
      <w:pPr>
        <w:spacing w:before="120"/>
        <w:ind w:firstLine="480"/>
      </w:pPr>
      <w:r>
        <w:t>方案新增水土保持措施投资减少</w:t>
      </w:r>
      <w:r>
        <w:rPr>
          <w:rFonts w:hint="eastAsia"/>
          <w:lang w:val="en-US" w:eastAsia="zh-CN"/>
        </w:rPr>
        <w:t>2.28</w:t>
      </w:r>
      <w:r>
        <w:t>万元，其中植物措施投资</w:t>
      </w:r>
      <w:r>
        <w:rPr>
          <w:rFonts w:hint="eastAsia"/>
          <w:lang w:val="en-US" w:eastAsia="zh-CN"/>
        </w:rPr>
        <w:t>增加0.07</w:t>
      </w:r>
      <w:r>
        <w:t>万元，监测费用减少</w:t>
      </w:r>
      <w:r>
        <w:rPr>
          <w:rFonts w:hint="eastAsia"/>
          <w:lang w:val="en-US" w:eastAsia="zh-CN"/>
        </w:rPr>
        <w:t>2.50</w:t>
      </w:r>
      <w:r>
        <w:t>万元，临时措施投资</w:t>
      </w:r>
      <w:r>
        <w:rPr>
          <w:rFonts w:hint="eastAsia"/>
          <w:lang w:val="en-US" w:eastAsia="zh-CN"/>
        </w:rPr>
        <w:t>增加0.40</w:t>
      </w:r>
      <w:r>
        <w:t>万元，独立费用</w:t>
      </w:r>
      <w:r>
        <w:rPr>
          <w:rFonts w:hint="eastAsia"/>
          <w:lang w:val="en-US" w:eastAsia="zh-CN"/>
        </w:rPr>
        <w:t>增加0.28</w:t>
      </w:r>
      <w:r>
        <w:t>万元，基本预备费减少</w:t>
      </w:r>
      <w:r>
        <w:rPr>
          <w:rFonts w:hint="eastAsia"/>
          <w:lang w:val="en-US" w:eastAsia="zh-CN"/>
        </w:rPr>
        <w:t>0.53</w:t>
      </w:r>
      <w:r>
        <w:t>万元，投资变化主要原因如下：</w:t>
      </w:r>
    </w:p>
    <w:p>
      <w:pPr>
        <w:numPr>
          <w:ilvl w:val="0"/>
          <w:numId w:val="2"/>
        </w:numPr>
        <w:spacing w:before="120"/>
        <w:ind w:firstLine="480"/>
      </w:pPr>
      <w:r>
        <w:rPr>
          <w:rFonts w:hint="eastAsia"/>
          <w:lang w:val="en-US" w:eastAsia="zh-CN"/>
        </w:rPr>
        <w:t>绿化根据现场实际立地条件实施，加大了撒播植草面积，相应费用增加</w:t>
      </w:r>
      <w:r>
        <w:rPr>
          <w:rFonts w:hint="eastAsia"/>
        </w:rPr>
        <w:t>，</w:t>
      </w:r>
      <w:r>
        <w:t>导致植物措施投资</w:t>
      </w:r>
      <w:r>
        <w:rPr>
          <w:rFonts w:hint="eastAsia"/>
        </w:rPr>
        <w:t>最终</w:t>
      </w:r>
      <w:r>
        <w:rPr>
          <w:rFonts w:hint="eastAsia"/>
          <w:lang w:val="en-US" w:eastAsia="zh-CN"/>
        </w:rPr>
        <w:t>增加0.07</w:t>
      </w:r>
      <w:r>
        <w:t>万元；</w:t>
      </w:r>
    </w:p>
    <w:p>
      <w:pPr>
        <w:numPr>
          <w:ilvl w:val="0"/>
          <w:numId w:val="2"/>
        </w:numPr>
        <w:spacing w:before="120"/>
        <w:ind w:firstLine="480"/>
      </w:pPr>
      <w:r>
        <w:t>监测费用减少</w:t>
      </w:r>
      <w:r>
        <w:rPr>
          <w:rFonts w:hint="eastAsia"/>
          <w:lang w:val="en-US" w:eastAsia="zh-CN"/>
        </w:rPr>
        <w:t>2.50</w:t>
      </w:r>
      <w:r>
        <w:t>万元，主要是根据川水函[2018]887号文，征占地小于10公顷以下的项目可不提供监测总结报告，建设单位</w:t>
      </w:r>
      <w:r>
        <w:rPr>
          <w:rFonts w:hint="eastAsia"/>
        </w:rPr>
        <w:t>可自行</w:t>
      </w:r>
      <w:r>
        <w:t>开展水土保持监测工作，</w:t>
      </w:r>
      <w:r>
        <w:rPr>
          <w:rFonts w:hint="eastAsia"/>
        </w:rPr>
        <w:t>因此此部分费用未计列</w:t>
      </w:r>
      <w:r>
        <w:t>。</w:t>
      </w:r>
    </w:p>
    <w:p>
      <w:pPr>
        <w:numPr>
          <w:ilvl w:val="0"/>
          <w:numId w:val="2"/>
        </w:numPr>
        <w:spacing w:before="120"/>
        <w:ind w:firstLine="480"/>
      </w:pPr>
      <w:r>
        <w:rPr>
          <w:rFonts w:hint="eastAsia"/>
          <w:lang w:val="en-US" w:eastAsia="zh-CN"/>
        </w:rPr>
        <w:t>项目</w:t>
      </w:r>
      <w:r>
        <w:rPr>
          <w:rFonts w:hint="eastAsia"/>
        </w:rPr>
        <w:t>施工过程中</w:t>
      </w:r>
      <w:r>
        <w:rPr>
          <w:rFonts w:hint="eastAsia"/>
          <w:lang w:val="en-US" w:eastAsia="zh-CN"/>
        </w:rPr>
        <w:t>实施增加了防雨布数量</w:t>
      </w:r>
      <w:r>
        <w:t>，导致临时措施投资</w:t>
      </w:r>
      <w:r>
        <w:rPr>
          <w:rFonts w:hint="eastAsia"/>
          <w:lang w:val="en-US" w:eastAsia="zh-CN"/>
        </w:rPr>
        <w:t>增加0.40</w:t>
      </w:r>
      <w:r>
        <w:t>万元。</w:t>
      </w:r>
    </w:p>
    <w:p>
      <w:pPr>
        <w:spacing w:before="120"/>
        <w:ind w:firstLine="480"/>
      </w:pPr>
      <w:r>
        <w:rPr>
          <w:rFonts w:hint="eastAsia"/>
          <w:lang w:val="en-US" w:eastAsia="zh-CN"/>
        </w:rPr>
        <w:t>4</w:t>
      </w:r>
      <w:r>
        <w:t>、</w:t>
      </w:r>
      <w:r>
        <w:rPr>
          <w:rFonts w:hint="eastAsia"/>
          <w:lang w:val="en-US" w:eastAsia="zh-CN"/>
        </w:rPr>
        <w:t>独立费用按照实际计列费用，建设管理费按照比例取费，略有增加</w:t>
      </w:r>
      <w:r>
        <w:t>。</w:t>
      </w:r>
    </w:p>
    <w:p>
      <w:pPr>
        <w:spacing w:before="120"/>
        <w:ind w:firstLine="480"/>
        <w:jc w:val="left"/>
      </w:pPr>
      <w:r>
        <w:rPr>
          <w:rFonts w:hint="eastAsia"/>
          <w:lang w:val="en-US" w:eastAsia="zh-CN"/>
        </w:rPr>
        <w:t>5</w:t>
      </w:r>
      <w:r>
        <w:t>、基本预备费已计列到相关投资中，不再单独列支。</w:t>
      </w:r>
    </w:p>
    <w:p>
      <w:pPr>
        <w:spacing w:before="120"/>
        <w:ind w:firstLine="480"/>
        <w:jc w:val="left"/>
        <w:sectPr>
          <w:headerReference r:id="rId24" w:type="default"/>
          <w:pgSz w:w="11906" w:h="16838"/>
          <w:pgMar w:top="1440" w:right="1800" w:bottom="1440" w:left="1800" w:header="708" w:footer="708" w:gutter="0"/>
          <w:pgBorders>
            <w:top w:val="none" w:sz="0" w:space="0"/>
            <w:left w:val="none" w:sz="0" w:space="0"/>
            <w:bottom w:val="none" w:sz="0" w:space="0"/>
            <w:right w:val="none" w:sz="0" w:space="0"/>
          </w:pgBorders>
          <w:pgNumType w:fmt="numberInDash"/>
          <w:cols w:space="708" w:num="1"/>
          <w:docGrid w:linePitch="381" w:charSpace="0"/>
        </w:sectPr>
      </w:pPr>
    </w:p>
    <w:p>
      <w:pPr>
        <w:pStyle w:val="3"/>
      </w:pPr>
      <w:bookmarkStart w:id="105" w:name="_Toc515873333"/>
      <w:bookmarkStart w:id="106" w:name="_Toc10258"/>
      <w:r>
        <w:t>水土保持工程质量</w:t>
      </w:r>
      <w:bookmarkEnd w:id="105"/>
      <w:bookmarkEnd w:id="106"/>
    </w:p>
    <w:p>
      <w:pPr>
        <w:pStyle w:val="2"/>
        <w:spacing w:before="120" w:after="120"/>
        <w:ind w:firstLine="0" w:firstLineChars="0"/>
        <w:rPr>
          <w:b/>
          <w:bCs/>
        </w:rPr>
      </w:pPr>
      <w:bookmarkStart w:id="107" w:name="_Toc515873334"/>
      <w:bookmarkStart w:id="108" w:name="_Toc4886"/>
      <w:r>
        <w:rPr>
          <w:rFonts w:hint="eastAsia"/>
          <w:b/>
          <w:bCs/>
        </w:rPr>
        <w:t xml:space="preserve">4.1  </w:t>
      </w:r>
      <w:r>
        <w:rPr>
          <w:b/>
          <w:bCs/>
        </w:rPr>
        <w:t>质量管理体系</w:t>
      </w:r>
      <w:bookmarkEnd w:id="107"/>
      <w:bookmarkEnd w:id="108"/>
    </w:p>
    <w:p>
      <w:pPr>
        <w:pStyle w:val="4"/>
        <w:spacing w:before="120"/>
      </w:pPr>
      <w:bookmarkStart w:id="109" w:name="_Toc6252"/>
      <w:bookmarkStart w:id="110" w:name="_Toc484280806"/>
      <w:bookmarkStart w:id="111" w:name="_Toc496268067"/>
      <w:bookmarkStart w:id="112" w:name="_Toc20290"/>
      <w:bookmarkStart w:id="113" w:name="_Toc489977023"/>
      <w:bookmarkStart w:id="114" w:name="_Toc19799"/>
      <w:bookmarkStart w:id="115" w:name="_Toc515873335"/>
      <w:r>
        <w:t>建设单位质量控制</w:t>
      </w:r>
      <w:bookmarkEnd w:id="109"/>
      <w:bookmarkEnd w:id="110"/>
      <w:bookmarkEnd w:id="111"/>
      <w:bookmarkEnd w:id="112"/>
      <w:bookmarkEnd w:id="113"/>
      <w:bookmarkEnd w:id="114"/>
      <w:bookmarkEnd w:id="115"/>
    </w:p>
    <w:p>
      <w:pPr>
        <w:spacing w:before="120"/>
        <w:ind w:firstLine="480"/>
      </w:pPr>
      <w:r>
        <w:t>本项目建设全面实行项目法人责任制、招标投标制和工程监理制。由项目法人（国网四川省电力公司</w:t>
      </w:r>
      <w:r>
        <w:rPr>
          <w:rFonts w:hint="eastAsia"/>
        </w:rPr>
        <w:t>甘孜供电公司</w:t>
      </w:r>
      <w:r>
        <w:t>）全面负责项目的建设与管理。公司领导高度重视项目建设中的水土保持工作，把水土保持工程纳入主体工程的建设和管理体系中，由工程建设项目部负责水土保持工程的实施和完善。工程建设项目部作为建设单位职能部门牵头召集设计、监理、施工等各参建方质量负责人，制定了《国网四川省电力公司</w:t>
      </w:r>
      <w:r>
        <w:rPr>
          <w:rFonts w:hint="eastAsia"/>
        </w:rPr>
        <w:t>甘孜供电公司</w:t>
      </w:r>
      <w:r>
        <w:rPr>
          <w:rFonts w:hint="eastAsia"/>
          <w:lang w:eastAsia="zh-CN"/>
        </w:rPr>
        <w:t>甘孜康定新都桥220kV临时变35kV配套工程</w:t>
      </w:r>
      <w:r>
        <w:t>质量管理制度》，对项目的水土保持工作做了规定，制定了《国网四川省电力公司</w:t>
      </w:r>
      <w:r>
        <w:rPr>
          <w:rFonts w:hint="eastAsia"/>
        </w:rPr>
        <w:t>甘孜供电公司</w:t>
      </w:r>
      <w:r>
        <w:rPr>
          <w:rFonts w:hint="eastAsia"/>
          <w:lang w:eastAsia="zh-CN"/>
        </w:rPr>
        <w:t>甘孜康定新都桥220kV临时变35kV配套工程</w:t>
      </w:r>
      <w:r>
        <w:t>监理工作考核办法》、《单位（分部、分项）工程质量检查与验收制度》、《工程整体验收制度》、《隐蔽工程质量验收制度》、《不合格项处理管理规定》、《质量事故处理制度》等一整套适合本工程的制度体系，确保工程建设的规范化、制度化。</w:t>
      </w:r>
    </w:p>
    <w:p>
      <w:pPr>
        <w:spacing w:before="120"/>
        <w:ind w:firstLine="480"/>
      </w:pPr>
      <w:r>
        <w:t>为确保本项目水土保持工程的质量、进度、投资控制，项目建设单位将水土保持工程措施的施工材料采购及供应、施工单位招标等程序纳入主体工程管理程序中。水土保持工程措施的施工由相应的主体工程施工单位承担。各施工单位均建立了第一质量责任人的质量保证体系，对工程施工进行全面的质量管理；实行工程质量终身负责制，层层落实、签订质量责任书，各自负责其相应的责任，接受建设单位、监理以及监督部门的监督；根据项目有关建设的政策、法规、规程、规范和标准，把好质量关。</w:t>
      </w:r>
    </w:p>
    <w:p>
      <w:pPr>
        <w:pStyle w:val="4"/>
        <w:spacing w:before="120"/>
      </w:pPr>
      <w:r>
        <w:t>设计单位的质量保证体系</w:t>
      </w:r>
    </w:p>
    <w:p>
      <w:pPr>
        <w:spacing w:before="120"/>
        <w:ind w:firstLine="480"/>
      </w:pPr>
      <w:r>
        <w:t>设计单位按GB/T19001-ISO9001标准质量管理体系组织推行了质量保证体系，在项目中实施质量策划、质量控制、质量保证和质量改进管理，并在认真落实质量保证制度的同时不断提出巩固、完善和提高的新目标，以持续改进质量保证体系。为贯彻“精益求精、不断改善”宗旨和质量方针，实现各项工程投产后良好的经济效益和社会效益，设计单位按照质量体系文件的要求控制设计全过程，强化设计质量的动态控制，并定期进行内部审核，认真贯彻项目建设方针、法规，以优质的设计产品确保工程建设的优质高效。</w:t>
      </w:r>
    </w:p>
    <w:p>
      <w:pPr>
        <w:spacing w:before="120"/>
        <w:ind w:firstLine="480"/>
      </w:pPr>
      <w:r>
        <w:t>1、在工程的设计过程中，设计单位强化公司、室、组三级质量管理机构的职责履行，总工程师负责指导监督质量管理体系的有效运行。总工室在总工程师领导下行使职权，明确专人负责协助项目组设总，直接参与工程全过程的质量管理活动，在工程建设全过程对有关政策、设计标准、深度规定、限额设计要求的贯彻执行，新技术、结构、材料的应用等进行有效的管理和监督，并协调各相关专业，确保文件在各有关专业室正确、迅速的传递，在设计手段和资源的配置，技术、档案资料的利用及勘测设计成品的印制出版质量等方面起到可靠的保证和支撑作用。</w:t>
      </w:r>
    </w:p>
    <w:p>
      <w:pPr>
        <w:spacing w:before="120"/>
        <w:ind w:firstLine="480"/>
      </w:pPr>
      <w:r>
        <w:t>2、为满足工程项目的设计要求，设计单位以文件形式规定了设计质量有关的过程开发、运作和控制的主要责任、权限、报告渠道及各专业间相互接口。同时选派技术职称和设计技术水平相应的，符合任职资格条件的人员，承担工程的设计审定、审核工作。</w:t>
      </w:r>
    </w:p>
    <w:p>
      <w:pPr>
        <w:spacing w:before="120"/>
        <w:ind w:firstLine="480"/>
      </w:pPr>
      <w:r>
        <w:t>3、设计单位明确设计必要的程序，实施分阶段质量控制。确保各阶段设计文件做到基础资料齐全，采用技术标准合理准确，深度符合规定要求，满足工程建设的需要和质量要求。</w:t>
      </w:r>
    </w:p>
    <w:p>
      <w:pPr>
        <w:spacing w:before="120"/>
        <w:ind w:firstLine="480"/>
      </w:pPr>
      <w:r>
        <w:t>4、设计单位建立了设计图纸和技术文件的设计质量评审制度，坚持三级审核制度，建立健全了质量监督检查制度、改进机制并制定、完善质量责任及相应的考核办法，加大质量管理和产品质量的考核、奖惩力度，确保本项目设计质量。</w:t>
      </w:r>
    </w:p>
    <w:p>
      <w:pPr>
        <w:pStyle w:val="4"/>
        <w:spacing w:before="120"/>
      </w:pPr>
      <w:r>
        <w:t>施工单位的质量保证体系</w:t>
      </w:r>
    </w:p>
    <w:p>
      <w:pPr>
        <w:spacing w:before="120"/>
        <w:ind w:firstLine="480"/>
      </w:pPr>
      <w:r>
        <w:t>施工单位都是具有施工资质，具备一定技术、人才、经济实力的企业，自身的质量保证体系较完善。</w:t>
      </w:r>
    </w:p>
    <w:p>
      <w:pPr>
        <w:spacing w:before="120"/>
        <w:ind w:firstLine="480"/>
      </w:pPr>
      <w:r>
        <w:t>工程开工前，由施工单位填写开工申请报告和质量考核表，送监理部审核；项目总工主持对所提交的图纸进行有计划的技术交底，编制工程建设一级网络进度图，在保证质量的同时，控制工程进度；依据相关规定，保证施工质量，按合同规定对工程材料、苗木及工程设备进行试验检测、验收；工程施工期，严格按方案设计进行施工；制定了《工程管理制度》、《工程技术部及相关岗位技术职责》、《施工方及其他服务采购控制程序》、《国网四川省电力公司</w:t>
      </w:r>
      <w:r>
        <w:rPr>
          <w:rFonts w:hint="eastAsia"/>
        </w:rPr>
        <w:t>甘孜供电公司</w:t>
      </w:r>
      <w:r>
        <w:rPr>
          <w:rFonts w:hint="eastAsia"/>
          <w:lang w:eastAsia="zh-CN"/>
        </w:rPr>
        <w:t>甘孜康定新都桥220kV临时变35kV配套工程</w:t>
      </w:r>
      <w:r>
        <w:t>安全工作规定》等管理办法和制度，明确施工方法、程序、进度、质量及安全保证措施；各项工程完工后，须具有完整的质量自检记录、各类工程质量签证、验收记录等。首先进行自检，合格后由监理公司、总公司组织初验。对不符合质量要求的工程，发放工程质量整改通知单，限期整改。</w:t>
      </w:r>
    </w:p>
    <w:p>
      <w:pPr>
        <w:spacing w:before="120"/>
        <w:ind w:firstLine="480"/>
      </w:pPr>
      <w:r>
        <w:t>按照《安全生产监督规定》建立健全安全施工保证体系和安全监督体系，制定了《工程安全文明施工管理制度》、《国网四川省电力公司</w:t>
      </w:r>
      <w:r>
        <w:rPr>
          <w:rFonts w:hint="eastAsia"/>
        </w:rPr>
        <w:t>甘孜供电公司</w:t>
      </w:r>
      <w:r>
        <w:rPr>
          <w:rFonts w:hint="eastAsia"/>
          <w:lang w:eastAsia="zh-CN"/>
        </w:rPr>
        <w:t>甘孜康定新都桥220kV临时变35kV配套工程</w:t>
      </w:r>
      <w:r>
        <w:t>安全文明施工考核办法》，协调、解决本单位以及与相邻单位在施工中出现的各类安全文明施工问题。</w:t>
      </w:r>
    </w:p>
    <w:p>
      <w:pPr>
        <w:spacing w:before="120"/>
        <w:ind w:firstLine="480"/>
      </w:pPr>
      <w:r>
        <w:t>在此基础上，注重各项措施的检查验收工作，将价款支付同</w:t>
      </w:r>
      <w:r>
        <w:rPr>
          <w:rFonts w:hint="eastAsia"/>
          <w:lang w:eastAsia="zh-CN"/>
        </w:rPr>
        <w:t>完工</w:t>
      </w:r>
      <w:r>
        <w:t>验收结合起来，保障了工程质量和种植林草的成活率和保存率。</w:t>
      </w:r>
    </w:p>
    <w:p>
      <w:pPr>
        <w:pStyle w:val="4"/>
        <w:spacing w:before="120"/>
      </w:pPr>
      <w:r>
        <w:t>监理单位的质量控制体系</w:t>
      </w:r>
    </w:p>
    <w:p>
      <w:pPr>
        <w:spacing w:before="120"/>
        <w:ind w:firstLine="480"/>
      </w:pPr>
      <w:r>
        <w:rPr>
          <w:rFonts w:hint="eastAsia"/>
          <w:lang w:eastAsia="zh-CN"/>
        </w:rPr>
        <w:t>甘孜康定新都桥220kV临时变35kV配套工程</w:t>
      </w:r>
      <w:r>
        <w:t>项目</w:t>
      </w:r>
      <w:r>
        <w:rPr>
          <w:rFonts w:hint="eastAsia"/>
        </w:rPr>
        <w:t>监理单位</w:t>
      </w:r>
      <w:r>
        <w:t>根据《施工监理服务协议书》，并结合输变电工程实际情况，编制了《监理过程控制程序》颁发使用，以使监理工作达到标准化、规范化、程序化，加强工程质量管理，控制工期和费用。</w:t>
      </w:r>
    </w:p>
    <w:p>
      <w:pPr>
        <w:spacing w:before="120"/>
        <w:ind w:firstLine="480"/>
      </w:pPr>
      <w:r>
        <w:t>监理单位与国网四川省电力公司</w:t>
      </w:r>
      <w:r>
        <w:rPr>
          <w:rFonts w:hint="eastAsia"/>
        </w:rPr>
        <w:t>甘孜供电公司</w:t>
      </w:r>
      <w:r>
        <w:t>签订监理合同后，组建项目监理部，任命总监理工程师，进驻工程现场，按《监理过程控制程序》要求开展监理工作。对施工开始前和施工过程中的材料配备、工作情况和质量问题进行现场管理。根据各项管理工作的需要，制定较为具体的管理规定或实施细则，经总监审定后报公司总工程师或主管副总经理批准后。发送施工单位依照执行。监理单位为工程的顺利实施专门制定了《监理规划》及《监理实施细则》，制定了相应的监理程序，运用常规检测技术和方法，严格执行各项监理制度，对包括植物措施在内的整个水土保持工程实施了整体质量、工程进度和投资总额控制。</w:t>
      </w:r>
    </w:p>
    <w:p>
      <w:pPr>
        <w:spacing w:before="120"/>
        <w:ind w:firstLine="480"/>
      </w:pPr>
      <w:r>
        <w:t>施工开始前，监理单位审核了施工单位的资质、质量计划，并进行详细记录；编制年（季）度工作计划，经公司总工程师批准后实施；施工过程中，主要采用现场检查验收、旁站与巡视、平行检验等控制手段，所有控制过程都保存控制记录。及时组织进行分部工程验收与质量评定，做好工程验收工作。定期向公司报告工程质量情况，并进行统计、分析与评价。</w:t>
      </w:r>
    </w:p>
    <w:p>
      <w:pPr>
        <w:spacing w:before="120"/>
        <w:ind w:firstLine="480"/>
      </w:pPr>
      <w:r>
        <w:t>各监理部下设的结构、建筑、安装、测量、试验、计量、质检专业监理工程师和现场监理工程师，分工负责、全过程、全方位的进行质量体系监控。同时通过</w:t>
      </w:r>
      <w:r>
        <w:rPr>
          <w:rFonts w:hint="eastAsia"/>
        </w:rPr>
        <w:t>设计单位</w:t>
      </w:r>
      <w:r>
        <w:t>的协调沟通，设计单位也加强了工程建设过程中的信息交流和现场服务，常驻施工工地，不定期巡视各施工面，发现与设计意图不符之处，及时通知监理工程师责令承包商改正。加快了设计问题处理速度，加强了现场控制力度，工程的施工及质量管理取得良好效果。</w:t>
      </w:r>
    </w:p>
    <w:p>
      <w:pPr>
        <w:spacing w:before="120"/>
        <w:ind w:firstLine="480"/>
      </w:pPr>
      <w:r>
        <w:t>对施工单位报送的各项预（结）算的文件，按《技经工作管理制度》的要求，经监理单位的监理工程师审核后，填写《工程预（结）算审核表》、《工程结算会签单》报送公司计划部审核批准；《工程结算会签单》应经公司总经理批准，工程部、物资部配合协助管理支付。</w:t>
      </w:r>
    </w:p>
    <w:p>
      <w:pPr>
        <w:spacing w:before="120"/>
        <w:ind w:firstLine="480"/>
      </w:pPr>
      <w:r>
        <w:t>经过建设监理，保证了水土保持工程的施工质量，投资得到严格控制，按计划进度组织实施。</w:t>
      </w:r>
    </w:p>
    <w:p>
      <w:pPr>
        <w:pStyle w:val="2"/>
        <w:spacing w:before="120" w:after="120"/>
        <w:ind w:firstLine="0" w:firstLineChars="0"/>
        <w:rPr>
          <w:b/>
          <w:bCs/>
        </w:rPr>
      </w:pPr>
      <w:bookmarkStart w:id="116" w:name="_Toc515873339"/>
      <w:bookmarkStart w:id="117" w:name="_Toc11492"/>
      <w:r>
        <w:rPr>
          <w:rFonts w:hint="eastAsia"/>
          <w:b/>
          <w:bCs/>
        </w:rPr>
        <w:t xml:space="preserve">4.2  </w:t>
      </w:r>
      <w:r>
        <w:rPr>
          <w:b/>
          <w:bCs/>
        </w:rPr>
        <w:t>各防治分区水土保持工程质量评定</w:t>
      </w:r>
      <w:bookmarkEnd w:id="116"/>
      <w:bookmarkEnd w:id="117"/>
    </w:p>
    <w:p>
      <w:pPr>
        <w:pStyle w:val="4"/>
        <w:numPr>
          <w:ilvl w:val="2"/>
          <w:numId w:val="0"/>
        </w:numPr>
        <w:spacing w:before="120"/>
      </w:pPr>
      <w:bookmarkStart w:id="118" w:name="_Toc515873340"/>
      <w:r>
        <w:rPr>
          <w:rFonts w:hint="eastAsia"/>
        </w:rPr>
        <w:t xml:space="preserve">4.2.1  </w:t>
      </w:r>
      <w:r>
        <w:t>项目划分及结果</w:t>
      </w:r>
      <w:bookmarkEnd w:id="118"/>
    </w:p>
    <w:p>
      <w:pPr>
        <w:spacing w:before="120"/>
        <w:ind w:firstLine="480"/>
        <w:rPr>
          <w:szCs w:val="28"/>
        </w:rPr>
      </w:pPr>
      <w:r>
        <w:t>根据建设单位提供的相关资料，经报告编制组实地核查，依据《水土保持工程质量评定规程》（SL336-2006）、《</w:t>
      </w:r>
      <w:r>
        <w:rPr>
          <w:rFonts w:hint="eastAsia"/>
        </w:rPr>
        <w:t>生产</w:t>
      </w:r>
      <w:r>
        <w:t>建设项目水土保持设施验收技术规程》（GB/T22490-20</w:t>
      </w:r>
      <w:r>
        <w:rPr>
          <w:rFonts w:hint="eastAsia"/>
        </w:rPr>
        <w:t>16</w:t>
      </w:r>
      <w:r>
        <w:t>，以下简称技术规程），按照水土流失防治分区，结合项目特点将本项目水土保持措施划分防洪排导工程和</w:t>
      </w:r>
      <w:r>
        <w:rPr>
          <w:szCs w:val="28"/>
        </w:rPr>
        <w:t>植被建设工程</w:t>
      </w:r>
      <w:r>
        <w:rPr>
          <w:rFonts w:hint="eastAsia"/>
          <w:szCs w:val="28"/>
          <w:lang w:val="en-US" w:eastAsia="zh-CN"/>
        </w:rPr>
        <w:t>2</w:t>
      </w:r>
      <w:r>
        <w:rPr>
          <w:szCs w:val="28"/>
        </w:rPr>
        <w:t>个单位工程。</w:t>
      </w:r>
    </w:p>
    <w:p>
      <w:pPr>
        <w:spacing w:before="120"/>
        <w:ind w:firstLine="480"/>
      </w:pPr>
      <w:r>
        <w:t>由于本项目水土保持工程措施、植物措施和临时措施由主体工程施工单位总承包完成，主体工程进行分项验收时已进行了质量评定，本次评定将接受主体工程的评定结果，对专项水土保持措施的工程部位，按“技术规程”要求进行现场评定或复核。整个项目可划分为</w:t>
      </w:r>
      <w:r>
        <w:rPr>
          <w:rFonts w:hint="eastAsia"/>
          <w:lang w:val="en-US" w:eastAsia="zh-CN"/>
        </w:rPr>
        <w:t>2</w:t>
      </w:r>
      <w:r>
        <w:t>个分部工程，</w:t>
      </w:r>
      <w:r>
        <w:rPr>
          <w:rFonts w:hint="eastAsia"/>
          <w:lang w:val="en-US" w:eastAsia="zh-CN"/>
        </w:rPr>
        <w:t>7</w:t>
      </w:r>
      <w:r>
        <w:t>个单元工程。具体见表4.2-1。</w:t>
      </w:r>
    </w:p>
    <w:p>
      <w:pPr>
        <w:pStyle w:val="58"/>
        <w:spacing w:before="120"/>
        <w:rPr>
          <w:color w:val="auto"/>
        </w:rPr>
      </w:pPr>
      <w:r>
        <w:rPr>
          <w:color w:val="auto"/>
        </w:rPr>
        <w:t>水土保持工程项目划分情况表</w:t>
      </w:r>
    </w:p>
    <w:p>
      <w:pPr>
        <w:pStyle w:val="13"/>
        <w:keepNext/>
      </w:pPr>
      <w:r>
        <w:t xml:space="preserve">表 </w:t>
      </w:r>
      <w:r>
        <w:rPr>
          <w:rFonts w:hint="eastAsia"/>
        </w:rPr>
        <w:t>4.2</w:t>
      </w:r>
      <w:r>
        <w:noBreakHyphen/>
      </w:r>
      <w:r>
        <w:fldChar w:fldCharType="begin"/>
      </w:r>
      <w:r>
        <w:instrText xml:space="preserve"> SEQ 表 \* ARABIC \s 2 </w:instrText>
      </w:r>
      <w:r>
        <w:fldChar w:fldCharType="separate"/>
      </w:r>
      <w:r>
        <w:t>1</w:t>
      </w:r>
      <w:r>
        <w:fldChar w:fldCharType="end"/>
      </w:r>
    </w:p>
    <w:tbl>
      <w:tblPr>
        <w:tblStyle w:val="32"/>
        <w:tblW w:w="8427"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1476"/>
        <w:gridCol w:w="1476"/>
        <w:gridCol w:w="3363"/>
        <w:gridCol w:w="6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76" w:type="dxa"/>
            <w:vMerge w:val="restart"/>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防治区域</w:t>
            </w:r>
          </w:p>
        </w:tc>
        <w:tc>
          <w:tcPr>
            <w:tcW w:w="1476" w:type="dxa"/>
            <w:vMerge w:val="restart"/>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单位工程</w:t>
            </w:r>
          </w:p>
        </w:tc>
        <w:tc>
          <w:tcPr>
            <w:tcW w:w="1476" w:type="dxa"/>
            <w:vMerge w:val="restart"/>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分部工程</w:t>
            </w:r>
          </w:p>
        </w:tc>
        <w:tc>
          <w:tcPr>
            <w:tcW w:w="3999" w:type="dxa"/>
            <w:gridSpan w:val="2"/>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单元工程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76"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1476"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1476"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336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划分标准</w:t>
            </w:r>
          </w:p>
        </w:tc>
        <w:tc>
          <w:tcPr>
            <w:tcW w:w="63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76" w:type="dxa"/>
            <w:vMerge w:val="restart"/>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lang w:val="en-US" w:eastAsia="zh-CN"/>
              </w:rPr>
              <w:t>变电站及进站道路用地区</w:t>
            </w:r>
          </w:p>
        </w:tc>
        <w:tc>
          <w:tcPr>
            <w:tcW w:w="147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防洪排导工程</w:t>
            </w:r>
          </w:p>
        </w:tc>
        <w:tc>
          <w:tcPr>
            <w:tcW w:w="147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排洪导流设施</w:t>
            </w:r>
          </w:p>
        </w:tc>
        <w:tc>
          <w:tcPr>
            <w:tcW w:w="336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按段划分，每50~100m作为一个单元工程</w:t>
            </w:r>
          </w:p>
        </w:tc>
        <w:tc>
          <w:tcPr>
            <w:tcW w:w="63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s="Times New Roman"/>
                <w:color w:val="auto"/>
                <w:sz w:val="18"/>
                <w:lang w:val="en-US" w:eastAsia="zh-CN"/>
              </w:rPr>
            </w:pPr>
            <w:r>
              <w:rPr>
                <w:rFonts w:hint="eastAsia" w:cs="Times New Roman"/>
                <w:color w:val="auto"/>
                <w:sz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76"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147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植被建设工程</w:t>
            </w:r>
          </w:p>
        </w:tc>
        <w:tc>
          <w:tcPr>
            <w:tcW w:w="147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点片状植被</w:t>
            </w:r>
          </w:p>
        </w:tc>
        <w:tc>
          <w:tcPr>
            <w:tcW w:w="336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以设计的图斑作为一个单元工程，每个单元工程面积0.1～1hm</w:t>
            </w:r>
            <w:r>
              <w:rPr>
                <w:rFonts w:cs="Times New Roman"/>
                <w:color w:val="auto"/>
                <w:sz w:val="18"/>
                <w:vertAlign w:val="superscript"/>
              </w:rPr>
              <w:t>2</w:t>
            </w:r>
            <w:r>
              <w:rPr>
                <w:rFonts w:cs="Times New Roman"/>
                <w:color w:val="auto"/>
                <w:sz w:val="18"/>
              </w:rPr>
              <w:t>，大于1hm</w:t>
            </w:r>
            <w:r>
              <w:rPr>
                <w:rFonts w:cs="Times New Roman"/>
                <w:color w:val="auto"/>
                <w:sz w:val="18"/>
                <w:vertAlign w:val="superscript"/>
              </w:rPr>
              <w:t>2</w:t>
            </w:r>
            <w:r>
              <w:rPr>
                <w:rFonts w:cs="Times New Roman"/>
                <w:color w:val="auto"/>
                <w:sz w:val="18"/>
              </w:rPr>
              <w:t>的可划分为两个以上单元工程</w:t>
            </w:r>
          </w:p>
        </w:tc>
        <w:tc>
          <w:tcPr>
            <w:tcW w:w="63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s="Times New Roman"/>
                <w:color w:val="auto"/>
                <w:sz w:val="18"/>
                <w:lang w:eastAsia="zh-CN"/>
              </w:rPr>
            </w:pPr>
            <w:r>
              <w:rPr>
                <w:rFonts w:hint="eastAsia" w:cs="Times New Roman"/>
                <w:color w:val="auto"/>
                <w:sz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47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合计</w:t>
            </w:r>
          </w:p>
        </w:tc>
        <w:tc>
          <w:tcPr>
            <w:tcW w:w="147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s="Times New Roman"/>
                <w:color w:val="auto"/>
                <w:sz w:val="18"/>
                <w:lang w:eastAsia="zh-CN"/>
              </w:rPr>
            </w:pPr>
            <w:r>
              <w:rPr>
                <w:rFonts w:hint="eastAsia" w:cs="Times New Roman"/>
                <w:color w:val="auto"/>
                <w:sz w:val="18"/>
                <w:lang w:val="en-US" w:eastAsia="zh-CN"/>
              </w:rPr>
              <w:t>2</w:t>
            </w:r>
          </w:p>
        </w:tc>
        <w:tc>
          <w:tcPr>
            <w:tcW w:w="147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s="Times New Roman"/>
                <w:color w:val="auto"/>
                <w:sz w:val="18"/>
                <w:lang w:eastAsia="zh-CN"/>
              </w:rPr>
            </w:pPr>
            <w:r>
              <w:rPr>
                <w:rFonts w:hint="eastAsia" w:cs="Times New Roman"/>
                <w:color w:val="auto"/>
                <w:sz w:val="18"/>
                <w:lang w:val="en-US" w:eastAsia="zh-CN"/>
              </w:rPr>
              <w:t>2</w:t>
            </w:r>
          </w:p>
        </w:tc>
        <w:tc>
          <w:tcPr>
            <w:tcW w:w="336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　</w:t>
            </w:r>
          </w:p>
        </w:tc>
        <w:tc>
          <w:tcPr>
            <w:tcW w:w="63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s="Times New Roman"/>
                <w:color w:val="auto"/>
                <w:sz w:val="18"/>
                <w:lang w:val="en-US" w:eastAsia="zh-CN"/>
              </w:rPr>
            </w:pPr>
            <w:r>
              <w:rPr>
                <w:rFonts w:hint="eastAsia" w:cs="Times New Roman"/>
                <w:color w:val="auto"/>
                <w:sz w:val="18"/>
                <w:lang w:val="en-US" w:eastAsia="zh-CN"/>
              </w:rPr>
              <w:t>7</w:t>
            </w:r>
          </w:p>
        </w:tc>
      </w:tr>
    </w:tbl>
    <w:p>
      <w:pPr>
        <w:pStyle w:val="4"/>
        <w:numPr>
          <w:ilvl w:val="2"/>
          <w:numId w:val="0"/>
        </w:numPr>
        <w:spacing w:before="120"/>
      </w:pPr>
      <w:bookmarkStart w:id="119" w:name="_Toc515873341"/>
      <w:r>
        <w:rPr>
          <w:rFonts w:hint="eastAsia"/>
        </w:rPr>
        <w:t xml:space="preserve">4.2.2  </w:t>
      </w:r>
      <w:r>
        <w:t>质量评定</w:t>
      </w:r>
      <w:bookmarkEnd w:id="119"/>
    </w:p>
    <w:p>
      <w:pPr>
        <w:pStyle w:val="5"/>
        <w:numPr>
          <w:ilvl w:val="3"/>
          <w:numId w:val="0"/>
        </w:numPr>
        <w:spacing w:before="120"/>
      </w:pPr>
      <w:r>
        <w:rPr>
          <w:rFonts w:hint="eastAsia"/>
        </w:rPr>
        <w:t xml:space="preserve">4.2.2.1  </w:t>
      </w:r>
      <w:r>
        <w:t>质量评定标准</w:t>
      </w:r>
    </w:p>
    <w:p>
      <w:pPr>
        <w:spacing w:before="120"/>
        <w:ind w:firstLine="480"/>
      </w:pPr>
      <w:r>
        <w:rPr>
          <w:rFonts w:hint="eastAsia"/>
          <w:lang w:eastAsia="zh-CN"/>
        </w:rPr>
        <w:t>甘孜康定新都桥220kV临时变35kV配套工程</w:t>
      </w:r>
      <w:r>
        <w:t>总体评定主要是以单位工程评定为基础，其评定等级分为优良和合格两级。工程项目质量优良标准为：单位工程质量全部合格，其中有50%以上的单位工程优良，且主要建筑单位工程为优良；合格标准：单位工程质量全部合格。</w:t>
      </w:r>
    </w:p>
    <w:p>
      <w:pPr>
        <w:spacing w:before="120"/>
        <w:ind w:firstLine="480"/>
      </w:pPr>
      <w:r>
        <w:t>单位工程在分部工程质量评定的基础上，采用专家评定法评定质量等级。单位工程评定标准，优良标准为：分部工程质量全部合格，其中有50%达到优良，主要分部工程质量优良，且施工过程中未发生过任何重大质量事故；中间产品全部合格其中砼拌和物质量达到优良；原材料质量合格；外观质量得分率达到85%以上；施工质量检测资料齐全。合格标准为：分部工程质量全部合格；中间产品和原材料全部合格；外观质量得分率达到85%以上；施工质量检测资料齐全。</w:t>
      </w:r>
    </w:p>
    <w:p>
      <w:pPr>
        <w:pStyle w:val="5"/>
        <w:numPr>
          <w:ilvl w:val="3"/>
          <w:numId w:val="0"/>
        </w:numPr>
        <w:spacing w:before="120"/>
      </w:pPr>
      <w:bookmarkStart w:id="120" w:name="_Toc505007938"/>
      <w:r>
        <w:rPr>
          <w:rFonts w:hint="eastAsia"/>
        </w:rPr>
        <w:t xml:space="preserve">4.2.2.2  </w:t>
      </w:r>
      <w:r>
        <w:t>水土保持工程质量评定</w:t>
      </w:r>
      <w:bookmarkEnd w:id="120"/>
    </w:p>
    <w:p>
      <w:pPr>
        <w:spacing w:before="120"/>
        <w:ind w:firstLine="480"/>
      </w:pPr>
      <w:r>
        <w:t>（1）</w:t>
      </w:r>
      <w:r>
        <w:rPr>
          <w:rFonts w:hint="eastAsia"/>
          <w:lang w:eastAsia="zh-CN"/>
        </w:rPr>
        <w:t>完工</w:t>
      </w:r>
      <w:r>
        <w:t>资料检查情况</w:t>
      </w:r>
    </w:p>
    <w:p>
      <w:pPr>
        <w:spacing w:before="120"/>
        <w:ind w:firstLine="480"/>
      </w:pPr>
      <w:r>
        <w:t>报告编制组检查了水土保持工程质量检验和工程质量评定资料。包括主要原材料的检验、施工单位“三检”、监理工程师初验等环节的资料。</w:t>
      </w:r>
    </w:p>
    <w:p>
      <w:pPr>
        <w:spacing w:before="120"/>
        <w:ind w:firstLine="480"/>
      </w:pPr>
      <w:r>
        <w:rPr>
          <w:rFonts w:hint="eastAsia"/>
          <w:lang w:eastAsia="zh-CN"/>
        </w:rPr>
        <w:t>完工</w:t>
      </w:r>
      <w:r>
        <w:t>资料检查结果显示：本项目实施的水土保持措施（包括工程措施、植物措施）可以划分为</w:t>
      </w:r>
      <w:r>
        <w:rPr>
          <w:rFonts w:hint="eastAsia"/>
          <w:lang w:val="en-US" w:eastAsia="zh-CN"/>
        </w:rPr>
        <w:t>2</w:t>
      </w:r>
      <w:r>
        <w:t>个单位工程、</w:t>
      </w:r>
      <w:r>
        <w:rPr>
          <w:rFonts w:hint="eastAsia"/>
          <w:lang w:val="en-US" w:eastAsia="zh-CN"/>
        </w:rPr>
        <w:t>2</w:t>
      </w:r>
      <w:r>
        <w:t>个分部工程、</w:t>
      </w:r>
      <w:r>
        <w:rPr>
          <w:rFonts w:hint="eastAsia"/>
          <w:lang w:val="en-US" w:eastAsia="zh-CN"/>
        </w:rPr>
        <w:t>7</w:t>
      </w:r>
      <w:r>
        <w:t>个单元工程。</w:t>
      </w:r>
    </w:p>
    <w:p>
      <w:pPr>
        <w:spacing w:before="120"/>
        <w:ind w:firstLine="480"/>
      </w:pPr>
      <w:r>
        <w:t>（2）质量评定情况</w:t>
      </w:r>
    </w:p>
    <w:p>
      <w:pPr>
        <w:spacing w:before="120"/>
        <w:ind w:firstLine="480"/>
      </w:pPr>
      <w:r>
        <w:t>水保措施质量评定是根据施工记录、监理记录、工程外观和处理缺陷等进行综合评定。建设单位国网四川省电力公司</w:t>
      </w:r>
      <w:r>
        <w:rPr>
          <w:rFonts w:hint="eastAsia"/>
        </w:rPr>
        <w:t>甘孜供电公司</w:t>
      </w:r>
      <w:r>
        <w:t>组织监理单位、施工单位等对本工程各项水土保持措施分部工程及单位工程进行了验收。验收人员查阅了所有水土保持措施单位工程相关施工记录、监理记录等。最终评定：本项目单元工程全部合格，合格率100%，单元工程优良数</w:t>
      </w:r>
      <w:r>
        <w:rPr>
          <w:rFonts w:hint="eastAsia"/>
          <w:lang w:val="en-US" w:eastAsia="zh-CN"/>
        </w:rPr>
        <w:t>6</w:t>
      </w:r>
      <w:r>
        <w:t>个，优良率</w:t>
      </w:r>
      <w:r>
        <w:rPr>
          <w:rFonts w:hint="eastAsia"/>
        </w:rPr>
        <w:t>8</w:t>
      </w:r>
      <w:r>
        <w:rPr>
          <w:rFonts w:hint="eastAsia"/>
          <w:lang w:val="en-US" w:eastAsia="zh-CN"/>
        </w:rPr>
        <w:t>5.7</w:t>
      </w:r>
      <w:r>
        <w:t>%；</w:t>
      </w:r>
      <w:r>
        <w:rPr>
          <w:rFonts w:hint="eastAsia"/>
          <w:lang w:val="en-US" w:eastAsia="zh-CN"/>
        </w:rPr>
        <w:t>2</w:t>
      </w:r>
      <w:r>
        <w:t>个分部工程全部合格，合格率100%；</w:t>
      </w:r>
      <w:r>
        <w:rPr>
          <w:rFonts w:hint="eastAsia"/>
          <w:lang w:val="en-US" w:eastAsia="zh-CN"/>
        </w:rPr>
        <w:t>2</w:t>
      </w:r>
      <w:r>
        <w:t>个单位工程全部评定为合格，合格率100%。</w:t>
      </w:r>
    </w:p>
    <w:p>
      <w:pPr>
        <w:spacing w:before="120"/>
        <w:ind w:firstLine="480"/>
      </w:pPr>
      <w:r>
        <w:t>项目区各项水土保持单位工程总体合格，水土保持措施布局合理，质量符合设计要求，起到了良好的水土流失防治、绿化美化、植被恢复等多重效果，具备验收条件。</w:t>
      </w:r>
    </w:p>
    <w:p>
      <w:pPr>
        <w:pStyle w:val="58"/>
        <w:spacing w:before="120"/>
        <w:rPr>
          <w:color w:val="auto"/>
        </w:rPr>
      </w:pPr>
      <w:r>
        <w:rPr>
          <w:color w:val="auto"/>
        </w:rPr>
        <w:t>水土保持措施质量评定汇总表</w:t>
      </w:r>
    </w:p>
    <w:p>
      <w:pPr>
        <w:pStyle w:val="13"/>
        <w:keepNext/>
      </w:pPr>
      <w:r>
        <w:t xml:space="preserve">表 </w:t>
      </w:r>
      <w:r>
        <w:rPr>
          <w:rFonts w:hint="eastAsia"/>
        </w:rPr>
        <w:t>4.2</w:t>
      </w:r>
      <w:r>
        <w:noBreakHyphen/>
      </w:r>
      <w:r>
        <w:fldChar w:fldCharType="begin"/>
      </w:r>
      <w:r>
        <w:instrText xml:space="preserve"> SEQ 表 \* ARABIC \s 2 </w:instrText>
      </w:r>
      <w:r>
        <w:fldChar w:fldCharType="separate"/>
      </w:r>
      <w:r>
        <w:t>2</w:t>
      </w:r>
      <w:r>
        <w:fldChar w:fldCharType="end"/>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1689"/>
        <w:gridCol w:w="968"/>
        <w:gridCol w:w="968"/>
        <w:gridCol w:w="1149"/>
        <w:gridCol w:w="968"/>
        <w:gridCol w:w="1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57" w:type="dxa"/>
            <w:vMerge w:val="restart"/>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单位工程</w:t>
            </w:r>
          </w:p>
        </w:tc>
        <w:tc>
          <w:tcPr>
            <w:tcW w:w="1689" w:type="dxa"/>
            <w:vMerge w:val="restart"/>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分部工程</w:t>
            </w:r>
          </w:p>
        </w:tc>
        <w:tc>
          <w:tcPr>
            <w:tcW w:w="5076" w:type="dxa"/>
            <w:gridSpan w:val="5"/>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单元工程质量评定情况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57"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1689"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96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总体数</w:t>
            </w:r>
          </w:p>
        </w:tc>
        <w:tc>
          <w:tcPr>
            <w:tcW w:w="96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合格数</w:t>
            </w:r>
          </w:p>
        </w:tc>
        <w:tc>
          <w:tcPr>
            <w:tcW w:w="1149"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合格率</w:t>
            </w:r>
          </w:p>
        </w:tc>
        <w:tc>
          <w:tcPr>
            <w:tcW w:w="96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优良数</w:t>
            </w:r>
          </w:p>
        </w:tc>
        <w:tc>
          <w:tcPr>
            <w:tcW w:w="102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优良率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57"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防洪排导工程</w:t>
            </w:r>
          </w:p>
        </w:tc>
        <w:tc>
          <w:tcPr>
            <w:tcW w:w="1689"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排洪导流设施</w:t>
            </w:r>
          </w:p>
        </w:tc>
        <w:tc>
          <w:tcPr>
            <w:tcW w:w="96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olor w:val="auto"/>
                <w:sz w:val="18"/>
                <w:lang w:val="en-US" w:eastAsia="zh-CN"/>
              </w:rPr>
              <w:t>6</w:t>
            </w:r>
          </w:p>
        </w:tc>
        <w:tc>
          <w:tcPr>
            <w:tcW w:w="96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eastAsia="宋体"/>
                <w:color w:val="auto"/>
                <w:sz w:val="18"/>
                <w:lang w:val="en-US" w:eastAsia="zh-CN"/>
              </w:rPr>
              <w:t>6</w:t>
            </w:r>
          </w:p>
        </w:tc>
        <w:tc>
          <w:tcPr>
            <w:tcW w:w="1149"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100%</w:t>
            </w:r>
          </w:p>
        </w:tc>
        <w:tc>
          <w:tcPr>
            <w:tcW w:w="96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6</w:t>
            </w:r>
          </w:p>
        </w:tc>
        <w:tc>
          <w:tcPr>
            <w:tcW w:w="102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100</w:t>
            </w:r>
            <w:r>
              <w:rPr>
                <w:color w:val="auto"/>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57"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植被建设工程</w:t>
            </w:r>
          </w:p>
        </w:tc>
        <w:tc>
          <w:tcPr>
            <w:tcW w:w="1689"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点片状植被</w:t>
            </w:r>
          </w:p>
        </w:tc>
        <w:tc>
          <w:tcPr>
            <w:tcW w:w="96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1</w:t>
            </w:r>
          </w:p>
        </w:tc>
        <w:tc>
          <w:tcPr>
            <w:tcW w:w="96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olor w:val="auto"/>
                <w:sz w:val="18"/>
                <w:lang w:val="en-US" w:eastAsia="zh-CN"/>
              </w:rPr>
              <w:t>1</w:t>
            </w:r>
          </w:p>
        </w:tc>
        <w:tc>
          <w:tcPr>
            <w:tcW w:w="1149"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100%</w:t>
            </w:r>
          </w:p>
        </w:tc>
        <w:tc>
          <w:tcPr>
            <w:tcW w:w="96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0</w:t>
            </w:r>
          </w:p>
        </w:tc>
        <w:tc>
          <w:tcPr>
            <w:tcW w:w="102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3446" w:type="dxa"/>
            <w:gridSpan w:val="2"/>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合计</w:t>
            </w:r>
          </w:p>
        </w:tc>
        <w:tc>
          <w:tcPr>
            <w:tcW w:w="96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olor w:val="auto"/>
                <w:sz w:val="18"/>
                <w:lang w:val="en-US" w:eastAsia="zh-CN"/>
              </w:rPr>
              <w:t>7</w:t>
            </w:r>
          </w:p>
        </w:tc>
        <w:tc>
          <w:tcPr>
            <w:tcW w:w="96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eastAsia="宋体"/>
                <w:color w:val="auto"/>
                <w:sz w:val="18"/>
                <w:lang w:val="en-US" w:eastAsia="zh-CN"/>
              </w:rPr>
              <w:t>7</w:t>
            </w:r>
          </w:p>
        </w:tc>
        <w:tc>
          <w:tcPr>
            <w:tcW w:w="1149"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100%</w:t>
            </w:r>
          </w:p>
        </w:tc>
        <w:tc>
          <w:tcPr>
            <w:tcW w:w="96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6</w:t>
            </w:r>
          </w:p>
        </w:tc>
        <w:tc>
          <w:tcPr>
            <w:tcW w:w="102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8</w:t>
            </w:r>
            <w:r>
              <w:rPr>
                <w:rFonts w:hint="eastAsia"/>
                <w:color w:val="auto"/>
                <w:sz w:val="18"/>
                <w:lang w:val="en-US" w:eastAsia="zh-CN"/>
              </w:rPr>
              <w:t>5.7</w:t>
            </w:r>
            <w:r>
              <w:rPr>
                <w:color w:val="auto"/>
                <w:sz w:val="18"/>
              </w:rPr>
              <w:t>%</w:t>
            </w:r>
          </w:p>
        </w:tc>
      </w:tr>
    </w:tbl>
    <w:p>
      <w:pPr>
        <w:pStyle w:val="58"/>
        <w:spacing w:before="120"/>
        <w:rPr>
          <w:color w:val="auto"/>
        </w:rPr>
      </w:pPr>
    </w:p>
    <w:p>
      <w:pPr>
        <w:pStyle w:val="58"/>
        <w:spacing w:before="120"/>
        <w:rPr>
          <w:color w:val="auto"/>
        </w:rPr>
      </w:pPr>
      <w:r>
        <w:rPr>
          <w:color w:val="auto"/>
        </w:rPr>
        <w:t>分部工程质量评定</w:t>
      </w:r>
    </w:p>
    <w:p>
      <w:pPr>
        <w:pStyle w:val="13"/>
        <w:keepNext/>
      </w:pPr>
      <w:r>
        <w:t>表</w:t>
      </w:r>
      <w:r>
        <w:rPr>
          <w:rFonts w:hint="eastAsia"/>
        </w:rPr>
        <w:t>4.2</w:t>
      </w:r>
      <w:r>
        <w:noBreakHyphen/>
      </w:r>
      <w:r>
        <w:fldChar w:fldCharType="begin"/>
      </w:r>
      <w:r>
        <w:instrText xml:space="preserve"> SEQ 表 \* ARABIC \s 2 </w:instrText>
      </w:r>
      <w:r>
        <w:fldChar w:fldCharType="separate"/>
      </w:r>
      <w:r>
        <w:t>3</w:t>
      </w:r>
      <w:r>
        <w:fldChar w:fldCharType="end"/>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4"/>
        <w:gridCol w:w="1614"/>
        <w:gridCol w:w="4140"/>
        <w:gridCol w:w="1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14"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单位工程</w:t>
            </w:r>
          </w:p>
        </w:tc>
        <w:tc>
          <w:tcPr>
            <w:tcW w:w="1614"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分部工程</w:t>
            </w:r>
          </w:p>
        </w:tc>
        <w:tc>
          <w:tcPr>
            <w:tcW w:w="4140"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单元工程抽样检查情况</w:t>
            </w:r>
          </w:p>
        </w:tc>
        <w:tc>
          <w:tcPr>
            <w:tcW w:w="1154"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评定结论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14"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防洪排导工程</w:t>
            </w:r>
          </w:p>
        </w:tc>
        <w:tc>
          <w:tcPr>
            <w:tcW w:w="1614"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排洪导流设施</w:t>
            </w:r>
          </w:p>
        </w:tc>
        <w:tc>
          <w:tcPr>
            <w:tcW w:w="4140"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单元工程全部合格，未发生质量事故。</w:t>
            </w:r>
          </w:p>
        </w:tc>
        <w:tc>
          <w:tcPr>
            <w:tcW w:w="1154"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14"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植被建设工程</w:t>
            </w:r>
          </w:p>
        </w:tc>
        <w:tc>
          <w:tcPr>
            <w:tcW w:w="1614"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点片状植被</w:t>
            </w:r>
          </w:p>
        </w:tc>
        <w:tc>
          <w:tcPr>
            <w:tcW w:w="4140"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单元工程全部合格，未发生质量事故。</w:t>
            </w:r>
          </w:p>
        </w:tc>
        <w:tc>
          <w:tcPr>
            <w:tcW w:w="1154"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合格</w:t>
            </w:r>
          </w:p>
        </w:tc>
      </w:tr>
    </w:tbl>
    <w:p>
      <w:pPr>
        <w:pStyle w:val="58"/>
        <w:spacing w:before="120"/>
        <w:rPr>
          <w:color w:val="auto"/>
        </w:rPr>
      </w:pPr>
    </w:p>
    <w:p>
      <w:pPr>
        <w:pStyle w:val="58"/>
        <w:spacing w:before="120"/>
        <w:rPr>
          <w:color w:val="auto"/>
        </w:rPr>
      </w:pPr>
      <w:r>
        <w:rPr>
          <w:color w:val="auto"/>
        </w:rPr>
        <w:t>单位工程质量评定</w:t>
      </w:r>
    </w:p>
    <w:p>
      <w:pPr>
        <w:pStyle w:val="13"/>
        <w:keepNext/>
      </w:pPr>
      <w:r>
        <w:t xml:space="preserve">表 </w:t>
      </w:r>
      <w:r>
        <w:rPr>
          <w:rFonts w:hint="eastAsia"/>
        </w:rPr>
        <w:t>4.2</w:t>
      </w:r>
      <w:r>
        <w:noBreakHyphen/>
      </w:r>
      <w:r>
        <w:fldChar w:fldCharType="begin"/>
      </w:r>
      <w:r>
        <w:instrText xml:space="preserve"> SEQ 表 \* ARABIC \s 2 </w:instrText>
      </w:r>
      <w:r>
        <w:fldChar w:fldCharType="separate"/>
      </w:r>
      <w:r>
        <w:t>4</w:t>
      </w:r>
      <w:r>
        <w:fldChar w:fldCharType="end"/>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7"/>
        <w:gridCol w:w="4387"/>
        <w:gridCol w:w="2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2117"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单位工程</w:t>
            </w:r>
          </w:p>
        </w:tc>
        <w:tc>
          <w:tcPr>
            <w:tcW w:w="4387"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分部工程评定结论</w:t>
            </w:r>
          </w:p>
        </w:tc>
        <w:tc>
          <w:tcPr>
            <w:tcW w:w="2018"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单位工程评定结论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17"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防洪排导工程</w:t>
            </w:r>
          </w:p>
        </w:tc>
        <w:tc>
          <w:tcPr>
            <w:tcW w:w="4387"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分部工程质量全部合格；中间产品及原材料质量合格；未发生质量事故；施工质量检验资料齐全。</w:t>
            </w:r>
          </w:p>
        </w:tc>
        <w:tc>
          <w:tcPr>
            <w:tcW w:w="2018"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17"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植被建设工程</w:t>
            </w:r>
          </w:p>
        </w:tc>
        <w:tc>
          <w:tcPr>
            <w:tcW w:w="4387"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分部工程质量全部合格；中间产品及原材料质量合格；未发生质量事故；施工质量检验资料齐全。</w:t>
            </w:r>
          </w:p>
        </w:tc>
        <w:tc>
          <w:tcPr>
            <w:tcW w:w="2018"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合格</w:t>
            </w:r>
          </w:p>
        </w:tc>
      </w:tr>
    </w:tbl>
    <w:p>
      <w:pPr>
        <w:pStyle w:val="4"/>
        <w:numPr>
          <w:ilvl w:val="2"/>
          <w:numId w:val="0"/>
        </w:numPr>
        <w:spacing w:before="120"/>
      </w:pPr>
      <w:bookmarkStart w:id="121" w:name="_Toc515873342"/>
      <w:bookmarkStart w:id="122" w:name="_Toc10265"/>
      <w:bookmarkStart w:id="123" w:name="_Toc489977029"/>
      <w:bookmarkStart w:id="124" w:name="_Toc496268073"/>
      <w:bookmarkStart w:id="125" w:name="_Toc25094"/>
      <w:bookmarkStart w:id="126" w:name="_Toc484280812"/>
      <w:bookmarkStart w:id="127" w:name="_Toc27158"/>
      <w:r>
        <w:rPr>
          <w:rFonts w:hint="eastAsia"/>
        </w:rPr>
        <w:t xml:space="preserve">4.2.3  </w:t>
      </w:r>
      <w:r>
        <w:t>现场抽查情况</w:t>
      </w:r>
      <w:bookmarkEnd w:id="121"/>
      <w:bookmarkEnd w:id="122"/>
      <w:bookmarkEnd w:id="123"/>
      <w:bookmarkEnd w:id="124"/>
      <w:bookmarkEnd w:id="125"/>
      <w:bookmarkEnd w:id="126"/>
      <w:bookmarkEnd w:id="127"/>
    </w:p>
    <w:p>
      <w:pPr>
        <w:spacing w:before="120"/>
        <w:ind w:firstLine="480"/>
      </w:pPr>
      <w:r>
        <w:t>20</w:t>
      </w:r>
      <w:r>
        <w:rPr>
          <w:rFonts w:hint="eastAsia"/>
        </w:rPr>
        <w:t>20</w:t>
      </w:r>
      <w:r>
        <w:t>年</w:t>
      </w:r>
      <w:r>
        <w:rPr>
          <w:rFonts w:hint="eastAsia"/>
        </w:rPr>
        <w:t>12</w:t>
      </w:r>
      <w:r>
        <w:t>月，我公司组织相关工程、植物相关专业技术人员对对水土保持措施中的防洪排导工程、植被建设工程及土地整治工程工程进行了现场核查。核查的分部工程包括排洪导流设施、点片状植被共</w:t>
      </w:r>
      <w:r>
        <w:rPr>
          <w:rFonts w:hint="eastAsia"/>
          <w:lang w:val="en-US" w:eastAsia="zh-CN"/>
        </w:rPr>
        <w:t>2</w:t>
      </w:r>
      <w:r>
        <w:t>个分部工程。对工程措施如截排水等主要核查其外观质量及几何尺寸检查；对植物措施采用样方调查。</w:t>
      </w:r>
    </w:p>
    <w:p>
      <w:pPr>
        <w:spacing w:before="120"/>
        <w:ind w:firstLine="480"/>
      </w:pPr>
      <w:r>
        <w:t>资料检查及现场检查结果表明：本工程抽查单元工程共</w:t>
      </w:r>
      <w:r>
        <w:rPr>
          <w:rFonts w:hint="eastAsia"/>
          <w:lang w:val="en-US" w:eastAsia="zh-CN"/>
        </w:rPr>
        <w:t>7</w:t>
      </w:r>
      <w:r>
        <w:t>个，</w:t>
      </w:r>
      <w:r>
        <w:rPr>
          <w:rFonts w:hint="eastAsia"/>
          <w:lang w:val="en-US" w:eastAsia="zh-CN"/>
        </w:rPr>
        <w:t>7</w:t>
      </w:r>
      <w:r>
        <w:t>个单元工程全部合格，合格率100%；</w:t>
      </w:r>
      <w:r>
        <w:rPr>
          <w:rFonts w:hint="eastAsia"/>
          <w:lang w:val="en-US" w:eastAsia="zh-CN"/>
        </w:rPr>
        <w:t>2</w:t>
      </w:r>
      <w:r>
        <w:t>个分部工程全部合格，合格率100%；</w:t>
      </w:r>
      <w:r>
        <w:rPr>
          <w:rFonts w:hint="eastAsia"/>
          <w:lang w:val="en-US" w:eastAsia="zh-CN"/>
        </w:rPr>
        <w:t>2</w:t>
      </w:r>
      <w:r>
        <w:t>个单位工程全部评定为合格，合格率100%。</w:t>
      </w:r>
    </w:p>
    <w:p>
      <w:pPr>
        <w:spacing w:before="120"/>
        <w:ind w:firstLine="480"/>
      </w:pPr>
      <w:r>
        <w:t>项目区各项水土保持单位工程总体合格，水土保持措施布局合理，质量符合设计要求，起到了良好的水土流失防治、绿化美化、植被恢复等多重效果，具备验收条件。</w:t>
      </w:r>
    </w:p>
    <w:p>
      <w:pPr>
        <w:pStyle w:val="5"/>
        <w:numPr>
          <w:ilvl w:val="3"/>
          <w:numId w:val="0"/>
        </w:numPr>
        <w:spacing w:before="120"/>
      </w:pPr>
      <w:r>
        <w:rPr>
          <w:rFonts w:hint="eastAsia"/>
        </w:rPr>
        <w:t xml:space="preserve">4.2.3.1  </w:t>
      </w:r>
      <w:r>
        <w:t>工程措施现场抽查情况</w:t>
      </w:r>
    </w:p>
    <w:p>
      <w:pPr>
        <w:spacing w:beforeLines="0"/>
        <w:ind w:firstLine="480"/>
      </w:pPr>
      <w:r>
        <w:rPr>
          <w:rFonts w:hint="eastAsia"/>
          <w:lang w:eastAsia="zh-CN"/>
        </w:rPr>
        <w:t>甘孜康定新都桥220kV临时变35kV配套工程</w:t>
      </w:r>
      <w:r>
        <w:t>水土保持工程措施现场检查，是在对其内业验收资料整体评价达到设计要求后的基础上对已完工的工程措施进行现场质量抽查。主要抽查了各水土流失防治区的的截排水沟</w:t>
      </w:r>
      <w:r>
        <w:rPr>
          <w:rFonts w:hint="eastAsia"/>
        </w:rPr>
        <w:t>、植被建设</w:t>
      </w:r>
      <w:r>
        <w:t>等工程项目，现场抽样检查的目的主要是对工程外观质量，结构尺寸，是否存在工程缺陷</w:t>
      </w:r>
      <w:r>
        <w:rPr>
          <w:rFonts w:hint="eastAsia"/>
        </w:rPr>
        <w:t>；</w:t>
      </w:r>
      <w:r>
        <w:t>覆土厚度</w:t>
      </w:r>
      <w:r>
        <w:rPr>
          <w:rFonts w:hint="eastAsia"/>
        </w:rPr>
        <w:t>、植被长势</w:t>
      </w:r>
      <w:r>
        <w:t>是否达到设计要求进行评价。</w:t>
      </w:r>
    </w:p>
    <w:p>
      <w:pPr>
        <w:spacing w:beforeLines="0"/>
        <w:ind w:firstLine="480"/>
      </w:pPr>
      <w:r>
        <w:t>20</w:t>
      </w:r>
      <w:r>
        <w:rPr>
          <w:rFonts w:hint="eastAsia"/>
        </w:rPr>
        <w:t>20</w:t>
      </w:r>
      <w:r>
        <w:t>年1</w:t>
      </w:r>
      <w:r>
        <w:rPr>
          <w:rFonts w:hint="eastAsia"/>
        </w:rPr>
        <w:t>2</w:t>
      </w:r>
      <w:r>
        <w:t>月，报告编制组对水土保持工程措施的</w:t>
      </w:r>
      <w:r>
        <w:rPr>
          <w:rFonts w:hint="eastAsia"/>
        </w:rPr>
        <w:t>2</w:t>
      </w:r>
      <w:r>
        <w:t>个单位工程及</w:t>
      </w:r>
      <w:r>
        <w:rPr>
          <w:rFonts w:hint="eastAsia"/>
        </w:rPr>
        <w:t>2</w:t>
      </w:r>
      <w:r>
        <w:t>个分部工程全部进行了现场检查并拍照，对</w:t>
      </w:r>
      <w:r>
        <w:rPr>
          <w:rFonts w:hint="eastAsia"/>
          <w:lang w:val="en-US" w:eastAsia="zh-CN"/>
        </w:rPr>
        <w:t>7</w:t>
      </w:r>
      <w:r>
        <w:t>处抽样点进行了详细核查，工程措施现场抽查情况见下表。</w:t>
      </w:r>
    </w:p>
    <w:p>
      <w:pPr>
        <w:pStyle w:val="58"/>
        <w:spacing w:before="120"/>
        <w:rPr>
          <w:color w:val="auto"/>
        </w:rPr>
      </w:pPr>
      <w:r>
        <w:rPr>
          <w:color w:val="auto"/>
        </w:rPr>
        <w:t>水土保持工程措施外观质量现场抽查情况汇总表</w:t>
      </w:r>
    </w:p>
    <w:p>
      <w:pPr>
        <w:pStyle w:val="13"/>
        <w:keepNext/>
      </w:pPr>
      <w:r>
        <w:t xml:space="preserve">表 </w:t>
      </w:r>
      <w:r>
        <w:rPr>
          <w:rFonts w:hint="eastAsia"/>
        </w:rPr>
        <w:t>4.2</w:t>
      </w:r>
      <w:r>
        <w:noBreakHyphen/>
      </w:r>
      <w:r>
        <w:fldChar w:fldCharType="begin"/>
      </w:r>
      <w:r>
        <w:instrText xml:space="preserve"> SEQ 表 \* ARABIC \s 2 </w:instrText>
      </w:r>
      <w:r>
        <w:fldChar w:fldCharType="separate"/>
      </w:r>
      <w:r>
        <w:t>5</w:t>
      </w:r>
      <w:r>
        <w:fldChar w:fldCharType="end"/>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1423"/>
        <w:gridCol w:w="1360"/>
        <w:gridCol w:w="469"/>
        <w:gridCol w:w="691"/>
        <w:gridCol w:w="691"/>
        <w:gridCol w:w="821"/>
        <w:gridCol w:w="691"/>
        <w:gridCol w:w="823"/>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23" w:type="dxa"/>
            <w:vMerge w:val="restart"/>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单位工程名称</w:t>
            </w:r>
          </w:p>
        </w:tc>
        <w:tc>
          <w:tcPr>
            <w:tcW w:w="1360" w:type="dxa"/>
            <w:vMerge w:val="restart"/>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分部工程名称</w:t>
            </w:r>
          </w:p>
        </w:tc>
        <w:tc>
          <w:tcPr>
            <w:tcW w:w="4186" w:type="dxa"/>
            <w:gridSpan w:val="6"/>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单元工程现场核查情况</w:t>
            </w:r>
          </w:p>
        </w:tc>
        <w:tc>
          <w:tcPr>
            <w:tcW w:w="1359" w:type="dxa"/>
            <w:vMerge w:val="restart"/>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质量检验结果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23"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1360"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469" w:type="dxa"/>
            <w:vMerge w:val="restart"/>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总数</w:t>
            </w:r>
          </w:p>
        </w:tc>
        <w:tc>
          <w:tcPr>
            <w:tcW w:w="691" w:type="dxa"/>
            <w:vMerge w:val="restart"/>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抽样数</w:t>
            </w:r>
          </w:p>
        </w:tc>
        <w:tc>
          <w:tcPr>
            <w:tcW w:w="691" w:type="dxa"/>
            <w:vMerge w:val="restart"/>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合格数</w:t>
            </w:r>
          </w:p>
        </w:tc>
        <w:tc>
          <w:tcPr>
            <w:tcW w:w="82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合格率</w:t>
            </w:r>
          </w:p>
        </w:tc>
        <w:tc>
          <w:tcPr>
            <w:tcW w:w="691" w:type="dxa"/>
            <w:vMerge w:val="restart"/>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优良数</w:t>
            </w:r>
          </w:p>
        </w:tc>
        <w:tc>
          <w:tcPr>
            <w:tcW w:w="82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优良率</w:t>
            </w:r>
          </w:p>
        </w:tc>
        <w:tc>
          <w:tcPr>
            <w:tcW w:w="1359"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23"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1360"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469"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691"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691"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82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w:t>
            </w:r>
          </w:p>
        </w:tc>
        <w:tc>
          <w:tcPr>
            <w:tcW w:w="691"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82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w:t>
            </w:r>
          </w:p>
        </w:tc>
        <w:tc>
          <w:tcPr>
            <w:tcW w:w="1359" w:type="dxa"/>
            <w:vMerge w:val="continue"/>
            <w:tcBorders>
              <w:tl2br w:val="nil"/>
              <w:tr2bl w:val="nil"/>
            </w:tcBorders>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2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防洪排导工程</w:t>
            </w:r>
          </w:p>
        </w:tc>
        <w:tc>
          <w:tcPr>
            <w:tcW w:w="1360"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排洪导流设施</w:t>
            </w:r>
          </w:p>
        </w:tc>
        <w:tc>
          <w:tcPr>
            <w:tcW w:w="469"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宋体"/>
                <w:color w:val="auto"/>
                <w:sz w:val="18"/>
                <w:lang w:val="en-US" w:eastAsia="zh-CN"/>
              </w:rPr>
            </w:pPr>
            <w:r>
              <w:rPr>
                <w:rFonts w:hint="eastAsia" w:eastAsia="宋体"/>
                <w:color w:val="auto"/>
                <w:sz w:val="18"/>
                <w:lang w:val="en-US" w:eastAsia="zh-CN"/>
              </w:rPr>
              <w:t>6</w:t>
            </w:r>
          </w:p>
        </w:tc>
        <w:tc>
          <w:tcPr>
            <w:tcW w:w="69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eastAsia="仿宋_GB2312"/>
                <w:color w:val="auto"/>
                <w:sz w:val="18"/>
                <w:lang w:val="en-US" w:eastAsia="zh-CN"/>
              </w:rPr>
            </w:pPr>
            <w:r>
              <w:rPr>
                <w:rFonts w:hint="eastAsia" w:eastAsia="宋体"/>
                <w:color w:val="auto"/>
                <w:sz w:val="18"/>
                <w:lang w:val="en-US" w:eastAsia="zh-CN"/>
              </w:rPr>
              <w:t>6</w:t>
            </w:r>
          </w:p>
        </w:tc>
        <w:tc>
          <w:tcPr>
            <w:tcW w:w="69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eastAsia="宋体"/>
                <w:color w:val="auto"/>
                <w:sz w:val="18"/>
                <w:lang w:val="en-US" w:eastAsia="zh-CN"/>
              </w:rPr>
              <w:t>6</w:t>
            </w:r>
          </w:p>
        </w:tc>
        <w:tc>
          <w:tcPr>
            <w:tcW w:w="82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100%</w:t>
            </w:r>
          </w:p>
        </w:tc>
        <w:tc>
          <w:tcPr>
            <w:tcW w:w="69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6</w:t>
            </w:r>
          </w:p>
        </w:tc>
        <w:tc>
          <w:tcPr>
            <w:tcW w:w="82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rPr>
              <w:t>100</w:t>
            </w:r>
            <w:r>
              <w:rPr>
                <w:color w:val="auto"/>
                <w:sz w:val="18"/>
              </w:rPr>
              <w:t>%</w:t>
            </w:r>
          </w:p>
        </w:tc>
        <w:tc>
          <w:tcPr>
            <w:tcW w:w="1359"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ascii="仿宋_GB2312" w:hAnsi="宋体" w:cs="宋体"/>
                <w:color w:val="auto"/>
                <w:sz w:val="18"/>
              </w:rPr>
            </w:pPr>
            <w:r>
              <w:rPr>
                <w:rFonts w:hint="eastAsia" w:ascii="仿宋_GB2312"/>
                <w:color w:val="auto"/>
                <w:sz w:val="18"/>
              </w:rPr>
              <w:t>优良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42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植被建设工程</w:t>
            </w:r>
          </w:p>
        </w:tc>
        <w:tc>
          <w:tcPr>
            <w:tcW w:w="1360"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s="Times New Roman"/>
                <w:color w:val="auto"/>
                <w:sz w:val="18"/>
                <w:lang w:val="en-US" w:eastAsia="zh-CN"/>
              </w:rPr>
            </w:pPr>
            <w:r>
              <w:rPr>
                <w:rFonts w:hint="eastAsia" w:cs="Times New Roman"/>
                <w:color w:val="auto"/>
                <w:sz w:val="18"/>
                <w:lang w:val="en-US" w:eastAsia="zh-CN"/>
              </w:rPr>
              <w:t>植被建设</w:t>
            </w:r>
          </w:p>
        </w:tc>
        <w:tc>
          <w:tcPr>
            <w:tcW w:w="469"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1</w:t>
            </w:r>
          </w:p>
        </w:tc>
        <w:tc>
          <w:tcPr>
            <w:tcW w:w="69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eastAsia="仿宋_GB2312"/>
                <w:color w:val="auto"/>
                <w:sz w:val="18"/>
                <w:lang w:val="en-US" w:eastAsia="zh-CN"/>
              </w:rPr>
            </w:pPr>
            <w:r>
              <w:rPr>
                <w:rFonts w:hint="eastAsia"/>
                <w:color w:val="auto"/>
                <w:sz w:val="18"/>
                <w:lang w:val="en-US" w:eastAsia="zh-CN"/>
              </w:rPr>
              <w:t>1</w:t>
            </w:r>
          </w:p>
        </w:tc>
        <w:tc>
          <w:tcPr>
            <w:tcW w:w="69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color w:val="auto"/>
                <w:sz w:val="18"/>
                <w:lang w:val="en-US" w:eastAsia="zh-CN"/>
              </w:rPr>
              <w:t>1</w:t>
            </w:r>
          </w:p>
        </w:tc>
        <w:tc>
          <w:tcPr>
            <w:tcW w:w="82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100%</w:t>
            </w:r>
          </w:p>
        </w:tc>
        <w:tc>
          <w:tcPr>
            <w:tcW w:w="69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0</w:t>
            </w:r>
          </w:p>
        </w:tc>
        <w:tc>
          <w:tcPr>
            <w:tcW w:w="82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lang w:val="en-US" w:eastAsia="zh-CN"/>
              </w:rPr>
              <w:t>0</w:t>
            </w:r>
          </w:p>
        </w:tc>
        <w:tc>
          <w:tcPr>
            <w:tcW w:w="1359"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ascii="仿宋_GB2312" w:hAnsi="宋体" w:cs="宋体"/>
                <w:color w:val="auto"/>
                <w:sz w:val="18"/>
              </w:rPr>
            </w:pPr>
            <w:r>
              <w:rPr>
                <w:rFonts w:hint="eastAsia" w:ascii="仿宋_GB2312"/>
                <w:color w:val="auto"/>
                <w:sz w:val="18"/>
              </w:rPr>
              <w:t>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783" w:type="dxa"/>
            <w:gridSpan w:val="2"/>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合计</w:t>
            </w:r>
          </w:p>
        </w:tc>
        <w:tc>
          <w:tcPr>
            <w:tcW w:w="469"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olor w:val="auto"/>
                <w:sz w:val="18"/>
                <w:lang w:val="en-US" w:eastAsia="zh-CN"/>
              </w:rPr>
              <w:t>7</w:t>
            </w:r>
          </w:p>
        </w:tc>
        <w:tc>
          <w:tcPr>
            <w:tcW w:w="69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eastAsia="仿宋_GB2312"/>
                <w:color w:val="auto"/>
                <w:sz w:val="18"/>
                <w:lang w:val="en-US" w:eastAsia="zh-CN"/>
              </w:rPr>
            </w:pPr>
            <w:r>
              <w:rPr>
                <w:rFonts w:hint="eastAsia" w:eastAsia="宋体"/>
                <w:color w:val="auto"/>
                <w:sz w:val="18"/>
                <w:lang w:val="en-US" w:eastAsia="zh-CN"/>
              </w:rPr>
              <w:t>7</w:t>
            </w:r>
          </w:p>
        </w:tc>
        <w:tc>
          <w:tcPr>
            <w:tcW w:w="69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color w:val="auto"/>
                <w:sz w:val="18"/>
              </w:rPr>
            </w:pPr>
            <w:r>
              <w:rPr>
                <w:rFonts w:hint="eastAsia" w:eastAsia="宋体"/>
                <w:color w:val="auto"/>
                <w:sz w:val="18"/>
                <w:lang w:val="en-US" w:eastAsia="zh-CN"/>
              </w:rPr>
              <w:t>7</w:t>
            </w:r>
          </w:p>
        </w:tc>
        <w:tc>
          <w:tcPr>
            <w:tcW w:w="82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100%</w:t>
            </w:r>
          </w:p>
        </w:tc>
        <w:tc>
          <w:tcPr>
            <w:tcW w:w="69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olor w:val="auto"/>
                <w:sz w:val="18"/>
                <w:lang w:val="en-US" w:eastAsia="zh-CN"/>
              </w:rPr>
            </w:pPr>
            <w:r>
              <w:rPr>
                <w:rFonts w:hint="eastAsia"/>
                <w:color w:val="auto"/>
                <w:sz w:val="18"/>
                <w:lang w:val="en-US" w:eastAsia="zh-CN"/>
              </w:rPr>
              <w:t>6</w:t>
            </w:r>
          </w:p>
        </w:tc>
        <w:tc>
          <w:tcPr>
            <w:tcW w:w="82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rFonts w:hint="eastAsia"/>
                <w:color w:val="auto"/>
                <w:sz w:val="18"/>
                <w:lang w:val="en-US" w:eastAsia="zh-CN"/>
              </w:rPr>
              <w:t>85.7</w:t>
            </w:r>
            <w:r>
              <w:rPr>
                <w:color w:val="auto"/>
                <w:sz w:val="18"/>
              </w:rPr>
              <w:t>%</w:t>
            </w:r>
          </w:p>
        </w:tc>
        <w:tc>
          <w:tcPr>
            <w:tcW w:w="1359"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ascii="仿宋_GB2312" w:hAnsi="宋体" w:cs="宋体"/>
                <w:color w:val="auto"/>
                <w:sz w:val="18"/>
              </w:rPr>
            </w:pPr>
            <w:r>
              <w:rPr>
                <w:rFonts w:hint="eastAsia" w:ascii="仿宋_GB2312" w:hAnsi="宋体" w:cs="宋体"/>
                <w:color w:val="auto"/>
                <w:sz w:val="18"/>
              </w:rPr>
              <w:t>合格</w:t>
            </w:r>
          </w:p>
        </w:tc>
      </w:tr>
    </w:tbl>
    <w:p>
      <w:pPr>
        <w:spacing w:before="120"/>
        <w:ind w:firstLine="480"/>
      </w:pPr>
      <w:r>
        <w:t>各区水土保持工程措施质量评定结果如下:</w:t>
      </w:r>
    </w:p>
    <w:p>
      <w:pPr>
        <w:spacing w:before="120"/>
        <w:ind w:firstLine="480"/>
      </w:pPr>
      <w:r>
        <w:t>项目</w:t>
      </w:r>
      <w:r>
        <w:rPr>
          <w:rFonts w:hint="eastAsia"/>
        </w:rPr>
        <w:t>各</w:t>
      </w:r>
      <w:r>
        <w:t>分区排水沟</w:t>
      </w:r>
      <w:r>
        <w:rPr>
          <w:rFonts w:hint="eastAsia"/>
        </w:rPr>
        <w:t>、管</w:t>
      </w:r>
      <w:r>
        <w:t>畅通完整、稳固，排水设施运行正常，排水能力满足设计要求，各类工程措施基本控制了项目区内的水土流失。</w:t>
      </w:r>
    </w:p>
    <w:p>
      <w:pPr>
        <w:spacing w:before="120"/>
        <w:ind w:firstLine="480"/>
      </w:pPr>
      <w:r>
        <w:t>水土保持工程措施检查结果表明：排水沟</w:t>
      </w:r>
      <w:r>
        <w:rPr>
          <w:rFonts w:hint="eastAsia"/>
        </w:rPr>
        <w:t>、管</w:t>
      </w:r>
      <w:r>
        <w:t>等工程措施外形美观，无明显工程缺陷，外观质量部分优良，总体合格。所用原材料及施工工艺均达到设计要求，抗风化力强，砌体错缝套茬，嵌砌牢固，水泥砂浆充填密实，勾缝饱满，抹面平整。场地平整碾压密实、平整，覆土厚度满足设计要求。</w:t>
      </w:r>
    </w:p>
    <w:p>
      <w:pPr>
        <w:pStyle w:val="5"/>
        <w:numPr>
          <w:ilvl w:val="3"/>
          <w:numId w:val="0"/>
        </w:numPr>
        <w:spacing w:before="120"/>
      </w:pPr>
      <w:r>
        <w:rPr>
          <w:rFonts w:hint="eastAsia"/>
        </w:rPr>
        <w:t xml:space="preserve">4.2.3.2  </w:t>
      </w:r>
      <w:r>
        <w:t>植物措施现场抽查情况</w:t>
      </w:r>
    </w:p>
    <w:p>
      <w:pPr>
        <w:spacing w:before="120"/>
        <w:ind w:firstLine="480"/>
      </w:pPr>
      <w:r>
        <w:t>水土保持植物措施的评价，按照《</w:t>
      </w:r>
      <w:r>
        <w:rPr>
          <w:rFonts w:hint="eastAsia"/>
        </w:rPr>
        <w:t>生产</w:t>
      </w:r>
      <w:r>
        <w:t>建设项目水土保持设施验收技术规程》（GB/T22490-20</w:t>
      </w:r>
      <w:r>
        <w:rPr>
          <w:rFonts w:hint="eastAsia"/>
        </w:rPr>
        <w:t>16）</w:t>
      </w:r>
      <w:r>
        <w:t>，《水土保持工程质量评定规程》（SL336-2006）、《</w:t>
      </w:r>
      <w:r>
        <w:rPr>
          <w:rFonts w:hint="eastAsia"/>
        </w:rPr>
        <w:t>生产</w:t>
      </w:r>
      <w:r>
        <w:t>建设项目水土流失防治标准》（GB</w:t>
      </w:r>
      <w:r>
        <w:rPr>
          <w:rFonts w:hint="eastAsia"/>
        </w:rPr>
        <w:t xml:space="preserve"> </w:t>
      </w:r>
      <w:r>
        <w:t>50434-20</w:t>
      </w:r>
      <w:r>
        <w:rPr>
          <w:rFonts w:hint="eastAsia"/>
        </w:rPr>
        <w:t>18</w:t>
      </w:r>
      <w:r>
        <w:t>）和水土保持植物措施验收的相关标准进行。</w:t>
      </w:r>
    </w:p>
    <w:p>
      <w:pPr>
        <w:spacing w:before="120"/>
        <w:ind w:firstLine="480"/>
      </w:pPr>
      <w:r>
        <w:rPr>
          <w:rFonts w:hint="eastAsia"/>
          <w:lang w:eastAsia="zh-CN"/>
        </w:rPr>
        <w:t>甘孜康定新都桥220kV临时变35kV配套工程</w:t>
      </w:r>
      <w:r>
        <w:t>水土保持植物措施验收采用各防治分区现场质量抽查和检测，并结合查阅</w:t>
      </w:r>
      <w:r>
        <w:rPr>
          <w:rFonts w:hint="eastAsia"/>
          <w:lang w:eastAsia="zh-CN"/>
        </w:rPr>
        <w:t>完工</w:t>
      </w:r>
      <w:r>
        <w:t>验收资料，对植物措施质量进行评价。</w:t>
      </w:r>
    </w:p>
    <w:p>
      <w:pPr>
        <w:spacing w:before="120"/>
        <w:ind w:firstLine="480"/>
      </w:pPr>
      <w:r>
        <w:t>一、检查方法和标准</w:t>
      </w:r>
    </w:p>
    <w:p>
      <w:pPr>
        <w:spacing w:before="120"/>
        <w:ind w:firstLine="480"/>
      </w:pPr>
      <w:r>
        <w:t>现场抽查采取了现场普查和抽样详查相结合的方法进行了全面调查。使用普查方法核实植树、种草的数量和绿化面积，采取随机抽样的方法，对植物措施的质量和生长状况进行详查。</w:t>
      </w:r>
    </w:p>
    <w:p>
      <w:pPr>
        <w:spacing w:before="120"/>
        <w:ind w:firstLine="480"/>
      </w:pPr>
      <w:r>
        <w:rPr>
          <w:rFonts w:eastAsia="宋体"/>
        </w:rPr>
        <w:t>①</w:t>
      </w:r>
      <w:r>
        <w:t>植物防护措施面积普查</w:t>
      </w:r>
    </w:p>
    <w:p>
      <w:pPr>
        <w:spacing w:before="120"/>
        <w:ind w:firstLine="480"/>
      </w:pPr>
      <w:r>
        <w:t>对植物措施采用实测法核实，利用测距仪量测每个地块周边数据，进行地块面积计算。</w:t>
      </w:r>
    </w:p>
    <w:p>
      <w:pPr>
        <w:spacing w:before="120"/>
        <w:ind w:firstLine="480"/>
      </w:pPr>
      <w:r>
        <w:rPr>
          <w:rFonts w:eastAsia="宋体"/>
        </w:rPr>
        <w:t>②</w:t>
      </w:r>
      <w:r>
        <w:t>土质及覆土厚度抽检</w:t>
      </w:r>
    </w:p>
    <w:p>
      <w:pPr>
        <w:spacing w:before="120"/>
        <w:ind w:firstLine="480"/>
      </w:pPr>
      <w:r>
        <w:t>土质情况主要检查有无石砾，是否宜于种植；需覆土段厚度则根据植物工程设计中的覆土要求，现场采用插扦核实。</w:t>
      </w:r>
    </w:p>
    <w:p>
      <w:pPr>
        <w:spacing w:before="120"/>
        <w:ind w:firstLine="480"/>
      </w:pPr>
      <w:r>
        <w:rPr>
          <w:rFonts w:eastAsia="宋体"/>
        </w:rPr>
        <w:t>③</w:t>
      </w:r>
      <w:r>
        <w:t>植被覆盖及合格率抽检</w:t>
      </w:r>
    </w:p>
    <w:p>
      <w:pPr>
        <w:spacing w:before="120"/>
        <w:ind w:firstLine="480"/>
      </w:pPr>
      <w:r>
        <w:t>草区选取面积1～4m</w:t>
      </w:r>
      <w:r>
        <w:rPr>
          <w:vertAlign w:val="superscript"/>
        </w:rPr>
        <w:t>2</w:t>
      </w:r>
      <w:r>
        <w:t>样方小区随机抽检计算覆盖度，覆盖度计算采用量测法和目测法，同时通过调查记录成活和死亡株数，计算成活率。种草按出苗成活率计算植物措施面积，出苗成活率大于80%确认合格，计入植物措施面积；60%～80%为补植，小于60%为不合格，不计入植物措施面积。</w:t>
      </w:r>
    </w:p>
    <w:p>
      <w:pPr>
        <w:spacing w:before="120"/>
        <w:ind w:firstLine="480"/>
      </w:pPr>
      <w:r>
        <w:rPr>
          <w:rFonts w:eastAsia="宋体"/>
        </w:rPr>
        <w:t>④</w:t>
      </w:r>
      <w:r>
        <w:t>生长状况抽检</w:t>
      </w:r>
    </w:p>
    <w:p>
      <w:pPr>
        <w:spacing w:before="120"/>
        <w:ind w:firstLine="480"/>
      </w:pPr>
      <w:r>
        <w:t>对详查区内的花、草的抽梢、叶片色泽、病虫害、长势情况进行抽检。质量分3级：良好、一般、差。</w:t>
      </w:r>
    </w:p>
    <w:p>
      <w:pPr>
        <w:spacing w:before="120"/>
        <w:ind w:firstLine="480"/>
      </w:pPr>
      <w:r>
        <w:t>二、植物措施面积抽查情况</w:t>
      </w:r>
    </w:p>
    <w:p>
      <w:pPr>
        <w:spacing w:before="120"/>
        <w:ind w:firstLine="480"/>
      </w:pPr>
      <w:r>
        <w:t>报告编制组对1个防治分区内的植物措施的实施情况进行了现场普查并进行拍照，对重点地段进行了详查。详查采取沿植物带随机定位抽查方式。</w:t>
      </w:r>
    </w:p>
    <w:p>
      <w:pPr>
        <w:spacing w:before="120"/>
        <w:ind w:firstLine="480"/>
      </w:pPr>
      <w:r>
        <w:t>撒草是植物措施的主要防治手段，本项目各防治分区的裸露地表都进行了撒草绿化进行防治。草籽品种主要有：早熟禾、披咸草等。</w:t>
      </w:r>
    </w:p>
    <w:p>
      <w:pPr>
        <w:spacing w:before="120"/>
        <w:ind w:firstLine="480"/>
      </w:pPr>
      <w:r>
        <w:t>三、现场抽查统计情况</w:t>
      </w:r>
    </w:p>
    <w:p>
      <w:pPr>
        <w:spacing w:before="120"/>
        <w:ind w:firstLine="480"/>
      </w:pPr>
      <w:r>
        <w:t>20</w:t>
      </w:r>
      <w:r>
        <w:rPr>
          <w:rFonts w:hint="eastAsia"/>
        </w:rPr>
        <w:t>20</w:t>
      </w:r>
      <w:r>
        <w:t>年</w:t>
      </w:r>
      <w:r>
        <w:rPr>
          <w:rFonts w:hint="eastAsia"/>
        </w:rPr>
        <w:t>12</w:t>
      </w:r>
      <w:r>
        <w:t>月，报告编制组对实施水土保持植物措施的</w:t>
      </w:r>
      <w:r>
        <w:rPr>
          <w:rFonts w:hint="eastAsia"/>
          <w:lang w:val="en-US" w:eastAsia="zh-CN"/>
        </w:rPr>
        <w:t>1</w:t>
      </w:r>
      <w:r>
        <w:t>个水土流失防治分区，1</w:t>
      </w:r>
      <w:r>
        <w:rPr>
          <w:rFonts w:hint="eastAsia"/>
          <w:lang w:val="en-US" w:eastAsia="zh-CN"/>
        </w:rPr>
        <w:t>个</w:t>
      </w:r>
      <w:r>
        <w:t>单位工程及1个分部工程全部进行了现场检查并拍照，对</w:t>
      </w:r>
      <w:r>
        <w:rPr>
          <w:rFonts w:hint="eastAsia"/>
          <w:lang w:val="en-US" w:eastAsia="zh-CN"/>
        </w:rPr>
        <w:t>1</w:t>
      </w:r>
      <w:r>
        <w:t>处抽样点进行了详细核查，植物措施现场抽查情况见下表。</w:t>
      </w:r>
    </w:p>
    <w:p>
      <w:pPr>
        <w:pStyle w:val="58"/>
        <w:spacing w:before="120"/>
        <w:rPr>
          <w:color w:val="auto"/>
        </w:rPr>
      </w:pPr>
      <w:r>
        <w:rPr>
          <w:color w:val="auto"/>
        </w:rPr>
        <w:t>水土保持植物措施外观质量现场抽查情况汇总表</w:t>
      </w:r>
    </w:p>
    <w:p>
      <w:pPr>
        <w:pStyle w:val="13"/>
        <w:keepNext/>
      </w:pPr>
      <w:r>
        <w:t xml:space="preserve">表 </w:t>
      </w:r>
      <w:r>
        <w:rPr>
          <w:rFonts w:hint="eastAsia"/>
        </w:rPr>
        <w:t>4.2</w:t>
      </w:r>
      <w:r>
        <w:noBreakHyphen/>
      </w:r>
      <w:r>
        <w:fldChar w:fldCharType="begin"/>
      </w:r>
      <w:r>
        <w:instrText xml:space="preserve"> SEQ 表 \* ARABIC \s 2 </w:instrText>
      </w:r>
      <w:r>
        <w:fldChar w:fldCharType="separate"/>
      </w:r>
      <w:r>
        <w:t>1</w:t>
      </w:r>
      <w:r>
        <w:fldChar w:fldCharType="end"/>
      </w:r>
    </w:p>
    <w:tbl>
      <w:tblPr>
        <w:tblStyle w:val="32"/>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64"/>
        <w:gridCol w:w="1132"/>
        <w:gridCol w:w="712"/>
        <w:gridCol w:w="712"/>
        <w:gridCol w:w="846"/>
        <w:gridCol w:w="970"/>
        <w:gridCol w:w="846"/>
        <w:gridCol w:w="864"/>
        <w:gridCol w:w="14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blHeader/>
        </w:trPr>
        <w:tc>
          <w:tcPr>
            <w:tcW w:w="964" w:type="dxa"/>
            <w:vMerge w:val="restart"/>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单位工程</w:t>
            </w:r>
          </w:p>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名称</w:t>
            </w:r>
          </w:p>
        </w:tc>
        <w:tc>
          <w:tcPr>
            <w:tcW w:w="1132" w:type="dxa"/>
            <w:vMerge w:val="restart"/>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分部工程</w:t>
            </w:r>
          </w:p>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名称</w:t>
            </w:r>
          </w:p>
        </w:tc>
        <w:tc>
          <w:tcPr>
            <w:tcW w:w="4950" w:type="dxa"/>
            <w:gridSpan w:val="6"/>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单元工程现场核查情况</w:t>
            </w:r>
          </w:p>
        </w:tc>
        <w:tc>
          <w:tcPr>
            <w:tcW w:w="1476" w:type="dxa"/>
            <w:vMerge w:val="restart"/>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质量检验结果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blHeader/>
        </w:trPr>
        <w:tc>
          <w:tcPr>
            <w:tcW w:w="964" w:type="dxa"/>
            <w:vMerge w:val="continue"/>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1132" w:type="dxa"/>
            <w:vMerge w:val="continue"/>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71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总数</w:t>
            </w:r>
          </w:p>
        </w:tc>
        <w:tc>
          <w:tcPr>
            <w:tcW w:w="71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抽样数</w:t>
            </w:r>
          </w:p>
        </w:tc>
        <w:tc>
          <w:tcPr>
            <w:tcW w:w="84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合格数</w:t>
            </w:r>
          </w:p>
        </w:tc>
        <w:tc>
          <w:tcPr>
            <w:tcW w:w="970"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合格率</w:t>
            </w:r>
          </w:p>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w:t>
            </w:r>
          </w:p>
        </w:tc>
        <w:tc>
          <w:tcPr>
            <w:tcW w:w="84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优良数</w:t>
            </w:r>
          </w:p>
        </w:tc>
        <w:tc>
          <w:tcPr>
            <w:tcW w:w="864"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优良率</w:t>
            </w:r>
          </w:p>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w:t>
            </w:r>
          </w:p>
        </w:tc>
        <w:tc>
          <w:tcPr>
            <w:tcW w:w="1476" w:type="dxa"/>
            <w:vMerge w:val="continue"/>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964"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植被建设工程</w:t>
            </w:r>
          </w:p>
        </w:tc>
        <w:tc>
          <w:tcPr>
            <w:tcW w:w="113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点片状植被绿化</w:t>
            </w:r>
          </w:p>
        </w:tc>
        <w:tc>
          <w:tcPr>
            <w:tcW w:w="71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宋体"/>
                <w:color w:val="auto"/>
                <w:sz w:val="18"/>
                <w:lang w:eastAsia="zh-CN"/>
              </w:rPr>
            </w:pPr>
            <w:r>
              <w:rPr>
                <w:rFonts w:hint="eastAsia" w:eastAsia="宋体"/>
                <w:color w:val="auto"/>
                <w:sz w:val="18"/>
                <w:lang w:val="en-US" w:eastAsia="zh-CN"/>
              </w:rPr>
              <w:t>1</w:t>
            </w:r>
          </w:p>
        </w:tc>
        <w:tc>
          <w:tcPr>
            <w:tcW w:w="71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1</w:t>
            </w:r>
          </w:p>
        </w:tc>
        <w:tc>
          <w:tcPr>
            <w:tcW w:w="84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1</w:t>
            </w:r>
          </w:p>
        </w:tc>
        <w:tc>
          <w:tcPr>
            <w:tcW w:w="970"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color w:val="auto"/>
                <w:sz w:val="18"/>
              </w:rPr>
            </w:pPr>
            <w:r>
              <w:rPr>
                <w:color w:val="auto"/>
                <w:sz w:val="18"/>
              </w:rPr>
              <w:t>100%</w:t>
            </w:r>
          </w:p>
        </w:tc>
        <w:tc>
          <w:tcPr>
            <w:tcW w:w="84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0</w:t>
            </w:r>
          </w:p>
        </w:tc>
        <w:tc>
          <w:tcPr>
            <w:tcW w:w="864"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olor w:val="auto"/>
                <w:sz w:val="18"/>
                <w:lang w:eastAsia="zh-CN"/>
              </w:rPr>
            </w:pPr>
            <w:r>
              <w:rPr>
                <w:rFonts w:hint="eastAsia"/>
                <w:color w:val="auto"/>
                <w:sz w:val="18"/>
                <w:lang w:val="en-US" w:eastAsia="zh-CN"/>
              </w:rPr>
              <w:t>0</w:t>
            </w:r>
          </w:p>
        </w:tc>
        <w:tc>
          <w:tcPr>
            <w:tcW w:w="1476"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ascii="仿宋_GB2312" w:hAnsi="宋体" w:cs="宋体"/>
                <w:color w:val="auto"/>
                <w:sz w:val="18"/>
              </w:rPr>
            </w:pPr>
            <w:r>
              <w:rPr>
                <w:rFonts w:hint="eastAsia" w:ascii="仿宋_GB2312"/>
                <w:color w:val="auto"/>
                <w:sz w:val="18"/>
              </w:rPr>
              <w:t>合格</w:t>
            </w:r>
          </w:p>
        </w:tc>
      </w:tr>
    </w:tbl>
    <w:p>
      <w:pPr>
        <w:spacing w:before="120"/>
        <w:ind w:firstLine="480"/>
      </w:pPr>
      <w:r>
        <w:t>项目防治分区的植物措施均以</w:t>
      </w:r>
      <w:r>
        <w:rPr>
          <w:rFonts w:hint="eastAsia"/>
        </w:rPr>
        <w:t>撒草绿化</w:t>
      </w:r>
      <w:r>
        <w:t>为主，</w:t>
      </w:r>
      <w:r>
        <w:rPr>
          <w:rFonts w:hint="eastAsia"/>
        </w:rPr>
        <w:t>由于受高寒地区影响，</w:t>
      </w:r>
      <w:r>
        <w:t>各防治分区内植物生长情况</w:t>
      </w:r>
      <w:r>
        <w:rPr>
          <w:rFonts w:hint="eastAsia"/>
        </w:rPr>
        <w:t>一般</w:t>
      </w:r>
      <w:r>
        <w:t>，植被覆盖</w:t>
      </w:r>
      <w:r>
        <w:rPr>
          <w:rFonts w:hint="eastAsia"/>
        </w:rPr>
        <w:t>一般</w:t>
      </w:r>
      <w:r>
        <w:t>，基本能控制各区水土流失</w:t>
      </w:r>
      <w:r>
        <w:rPr>
          <w:rFonts w:hint="eastAsia"/>
        </w:rPr>
        <w:t>，</w:t>
      </w:r>
      <w:r>
        <w:t>后期</w:t>
      </w:r>
      <w:r>
        <w:rPr>
          <w:rFonts w:hint="eastAsia"/>
        </w:rPr>
        <w:t>应补植补种，加强</w:t>
      </w:r>
      <w:r>
        <w:t>养护</w:t>
      </w:r>
      <w:r>
        <w:rPr>
          <w:rFonts w:hint="eastAsia"/>
        </w:rPr>
        <w:t>。</w:t>
      </w:r>
    </w:p>
    <w:p>
      <w:pPr>
        <w:spacing w:before="120"/>
        <w:ind w:firstLine="480"/>
      </w:pPr>
      <w:r>
        <w:t>水土保持植物措施检查结果表明：</w:t>
      </w:r>
      <w:r>
        <w:rPr>
          <w:rFonts w:hint="eastAsia"/>
          <w:lang w:eastAsia="zh-CN"/>
        </w:rPr>
        <w:t>甘孜康定新都桥220kV临时变35kV配套工程</w:t>
      </w:r>
      <w:r>
        <w:t>植物措施布设，绿化搭配基本合理，基本满足水土保持要求。</w:t>
      </w:r>
      <w:bookmarkStart w:id="128" w:name="_Toc515873343"/>
    </w:p>
    <w:p>
      <w:pPr>
        <w:pStyle w:val="2"/>
        <w:spacing w:before="120" w:after="120"/>
        <w:ind w:firstLine="0" w:firstLineChars="0"/>
        <w:rPr>
          <w:b/>
          <w:bCs/>
        </w:rPr>
      </w:pPr>
      <w:bookmarkStart w:id="129" w:name="_Toc5398"/>
      <w:r>
        <w:rPr>
          <w:rFonts w:hint="eastAsia"/>
          <w:b/>
          <w:bCs/>
        </w:rPr>
        <w:t xml:space="preserve">4.3  </w:t>
      </w:r>
      <w:r>
        <w:rPr>
          <w:b/>
          <w:bCs/>
        </w:rPr>
        <w:t>弃渣场稳定性评估</w:t>
      </w:r>
      <w:bookmarkEnd w:id="128"/>
      <w:bookmarkEnd w:id="129"/>
    </w:p>
    <w:p>
      <w:pPr>
        <w:spacing w:before="120"/>
        <w:ind w:firstLine="480"/>
      </w:pPr>
      <w:r>
        <w:t>本工程未设置弃渣场。</w:t>
      </w:r>
    </w:p>
    <w:p>
      <w:pPr>
        <w:pStyle w:val="2"/>
        <w:spacing w:before="120" w:after="120"/>
        <w:ind w:firstLine="0" w:firstLineChars="0"/>
        <w:rPr>
          <w:b/>
          <w:bCs/>
        </w:rPr>
      </w:pPr>
      <w:bookmarkStart w:id="130" w:name="_Toc515873344"/>
      <w:bookmarkStart w:id="131" w:name="_Toc10522"/>
      <w:r>
        <w:rPr>
          <w:rFonts w:hint="eastAsia"/>
          <w:b/>
          <w:bCs/>
        </w:rPr>
        <w:t xml:space="preserve">4.4  </w:t>
      </w:r>
      <w:r>
        <w:rPr>
          <w:b/>
          <w:bCs/>
        </w:rPr>
        <w:t>总体质量评价</w:t>
      </w:r>
      <w:bookmarkEnd w:id="130"/>
      <w:bookmarkEnd w:id="131"/>
    </w:p>
    <w:p>
      <w:pPr>
        <w:spacing w:before="120"/>
        <w:ind w:firstLine="480"/>
        <w:jc w:val="left"/>
      </w:pPr>
      <w:r>
        <w:t>建设单位在工程建设中高度重视水土保持工作，将水土保持工程纳入主体工程施工之中，建立了项目法人负责、监理单位控制、施工单位保证、政府职能部门监督的管理体系，对整个项目实行了项目法人制、招标投标制、建设监理制和合同管理制的质量管理体系。监理单位做到了全过程监理，对进入工程实体的原材料、中间产品和成品进行了抽样检查、试验，对不合格材料严禁投入使用，有效地保证了工程质量。</w:t>
      </w:r>
    </w:p>
    <w:p>
      <w:pPr>
        <w:spacing w:before="120"/>
        <w:ind w:firstLine="480"/>
        <w:jc w:val="left"/>
      </w:pPr>
      <w:r>
        <w:t>经过内业</w:t>
      </w:r>
      <w:r>
        <w:rPr>
          <w:rFonts w:hint="eastAsia"/>
          <w:lang w:eastAsia="zh-CN"/>
        </w:rPr>
        <w:t>完工</w:t>
      </w:r>
      <w:r>
        <w:t>资料检查和现场抽查分析，对本项目水土保持工程措施质量评价如下：排水工程砌体抹面平整、压光、直顺，无裂缝、空鼓等现象，砌体砂浆配合比准确，砌缝内砂浆均匀饱满、勾缝密实，浆砌石质量和规格符合设计要求；工程整地严格按照表土堆放、土地平整、表土返填、覆盖造地的顺序进行，覆土平均厚度达到设计要求，工程扰动土地得以改善，土地生产力得以恢复，确保了植物生长。</w:t>
      </w:r>
    </w:p>
    <w:p>
      <w:pPr>
        <w:spacing w:before="120"/>
        <w:ind w:firstLine="480"/>
        <w:jc w:val="left"/>
      </w:pPr>
      <w:r>
        <w:rPr>
          <w:rFonts w:hint="eastAsia"/>
          <w:lang w:eastAsia="zh-CN"/>
        </w:rPr>
        <w:t>甘孜康定新都桥220kV临时变35kV配套工程</w:t>
      </w:r>
      <w:r>
        <w:t>水土保持植物措施</w:t>
      </w:r>
      <w:r>
        <w:rPr>
          <w:rFonts w:hint="eastAsia"/>
          <w:lang w:eastAsia="zh-CN"/>
        </w:rPr>
        <w:t>完工</w:t>
      </w:r>
      <w:r>
        <w:t>后，建设单位联合监理单位、施工单位对植物措施进行了检查验收。验收数据表明，植物措施达到了设计与合同的要求，符合行业规范。</w:t>
      </w:r>
    </w:p>
    <w:p>
      <w:pPr>
        <w:spacing w:before="120"/>
        <w:ind w:firstLine="480"/>
        <w:jc w:val="left"/>
        <w:sectPr>
          <w:headerReference r:id="rId25" w:type="default"/>
          <w:pgSz w:w="11906" w:h="16838"/>
          <w:pgMar w:top="1440" w:right="1800" w:bottom="1440" w:left="1800" w:header="708" w:footer="708" w:gutter="0"/>
          <w:pgBorders>
            <w:top w:val="none" w:sz="0" w:space="0"/>
            <w:left w:val="none" w:sz="0" w:space="0"/>
            <w:bottom w:val="none" w:sz="0" w:space="0"/>
            <w:right w:val="none" w:sz="0" w:space="0"/>
          </w:pgBorders>
          <w:pgNumType w:fmt="numberInDash"/>
          <w:cols w:space="708" w:num="1"/>
          <w:docGrid w:linePitch="381" w:charSpace="0"/>
        </w:sectPr>
      </w:pPr>
      <w:r>
        <w:t>经报告编制组实地调查复核，</w:t>
      </w:r>
      <w:r>
        <w:rPr>
          <w:rFonts w:hint="eastAsia"/>
          <w:lang w:eastAsia="zh-CN"/>
        </w:rPr>
        <w:t>甘孜康定新都桥220kV临时变35kV配套工程</w:t>
      </w:r>
      <w:r>
        <w:t>水土保持植物措施：草本植物品种选择合理，对保护和美化当地的生态环境起到了积极的作用。经现场抽查，种草合格率为100%。工程质量总体合格，符合验收条件。</w:t>
      </w:r>
    </w:p>
    <w:p>
      <w:pPr>
        <w:pStyle w:val="3"/>
      </w:pPr>
      <w:bookmarkStart w:id="132" w:name="_Toc32497"/>
      <w:bookmarkStart w:id="133" w:name="_Toc515873345"/>
      <w:r>
        <w:t>项目初期运行及水土保持效果</w:t>
      </w:r>
      <w:bookmarkEnd w:id="132"/>
      <w:bookmarkEnd w:id="133"/>
    </w:p>
    <w:p>
      <w:pPr>
        <w:pStyle w:val="2"/>
        <w:spacing w:before="120" w:after="120"/>
        <w:ind w:firstLine="0" w:firstLineChars="0"/>
        <w:rPr>
          <w:b/>
          <w:bCs/>
        </w:rPr>
      </w:pPr>
      <w:bookmarkStart w:id="134" w:name="_Toc8377"/>
      <w:bookmarkStart w:id="135" w:name="_Toc515873346"/>
      <w:r>
        <w:rPr>
          <w:rFonts w:hint="eastAsia"/>
          <w:b/>
          <w:bCs/>
        </w:rPr>
        <w:t xml:space="preserve">5.1  </w:t>
      </w:r>
      <w:r>
        <w:rPr>
          <w:b/>
          <w:bCs/>
        </w:rPr>
        <w:t>初期运行情况</w:t>
      </w:r>
      <w:bookmarkEnd w:id="134"/>
      <w:bookmarkEnd w:id="135"/>
    </w:p>
    <w:p>
      <w:pPr>
        <w:spacing w:before="120"/>
        <w:ind w:firstLine="480"/>
      </w:pPr>
      <w:r>
        <w:t>本工程于2019年</w:t>
      </w:r>
      <w:r>
        <w:rPr>
          <w:rFonts w:hint="eastAsia"/>
          <w:lang w:val="en-US" w:eastAsia="zh-CN"/>
        </w:rPr>
        <w:t>10</w:t>
      </w:r>
      <w:r>
        <w:t>月</w:t>
      </w:r>
      <w:r>
        <w:rPr>
          <w:rFonts w:hint="eastAsia"/>
          <w:lang w:val="en-US" w:eastAsia="zh-CN"/>
        </w:rPr>
        <w:t>8</w:t>
      </w:r>
      <w:r>
        <w:rPr>
          <w:rFonts w:hint="eastAsia"/>
        </w:rPr>
        <w:t>日</w:t>
      </w:r>
      <w:r>
        <w:t>正式开工建设，20</w:t>
      </w:r>
      <w:r>
        <w:rPr>
          <w:rFonts w:hint="eastAsia"/>
        </w:rPr>
        <w:t>20</w:t>
      </w:r>
      <w:r>
        <w:t>年</w:t>
      </w:r>
      <w:r>
        <w:rPr>
          <w:rFonts w:hint="eastAsia"/>
          <w:lang w:val="en-US" w:eastAsia="zh-CN"/>
        </w:rPr>
        <w:t>8</w:t>
      </w:r>
      <w:r>
        <w:t>月</w:t>
      </w:r>
      <w:r>
        <w:rPr>
          <w:rFonts w:hint="eastAsia"/>
          <w:lang w:val="en-US" w:eastAsia="zh-CN"/>
        </w:rPr>
        <w:t>9</w:t>
      </w:r>
      <w:r>
        <w:rPr>
          <w:rFonts w:hint="eastAsia"/>
        </w:rPr>
        <w:t>日</w:t>
      </w:r>
      <w:r>
        <w:t>工程基本建设完成，水土保持工程措施基本与主体同步实施，水土保持工程措施随着主体工程完工而完工。目前各项治理措施已完成，水土流失防治效果较好。</w:t>
      </w:r>
    </w:p>
    <w:p>
      <w:pPr>
        <w:spacing w:before="120"/>
        <w:ind w:firstLine="480"/>
      </w:pPr>
      <w:r>
        <w:t>水土保持工程验收后，运行期水土流失防治责任范围内的水土保持工程措施日常管理维护工作将随主体工程交由</w:t>
      </w:r>
      <w:r>
        <w:rPr>
          <w:rFonts w:hint="eastAsia"/>
        </w:rPr>
        <w:t>运营</w:t>
      </w:r>
      <w:r>
        <w:t>单位负责。运营过程中，对各防治分区内排水设施进行定期检查，排水设施出现淤塞及时疏通，损坏的水土保持设施及时修复、加固。项目建设区绿化措施在植被的养护期内由运行单位负责项目建设区内植物措施的管护。</w:t>
      </w:r>
    </w:p>
    <w:p>
      <w:pPr>
        <w:spacing w:before="120"/>
        <w:ind w:firstLine="480"/>
      </w:pPr>
      <w:r>
        <w:t>从目前运行情况看，本项目排水沟</w:t>
      </w:r>
      <w:r>
        <w:rPr>
          <w:rFonts w:hint="eastAsia"/>
        </w:rPr>
        <w:t>、雨水管</w:t>
      </w:r>
      <w:r>
        <w:t>等排水设施运行正常，排水设施能满足项目区内雨水排泄要求，水土保持工程管理责任明确，水土保持设施的正常运行得到了保证，取得了一定的效果。</w:t>
      </w:r>
    </w:p>
    <w:p>
      <w:pPr>
        <w:spacing w:before="120"/>
        <w:ind w:firstLine="480"/>
      </w:pPr>
      <w:r>
        <w:t>主体工程在施工过程中，制定了质量管理体系，保障了施工质量，实施了较为完善的水土保持措施，开展了水土保持工作。工程投入运行后，运行期间，管理责任已落实。</w:t>
      </w:r>
    </w:p>
    <w:p>
      <w:pPr>
        <w:spacing w:before="120"/>
        <w:ind w:firstLine="480"/>
      </w:pPr>
      <w:r>
        <w:t>本项目运行以来，建设单位按照运行管理规定，加强对防治责任范围内各项水土保持设施的管理维护，由专人负责，不定期检查、清理截排水沟道内淤积的泥沙，督促施工单位实施植株洒水、施肥、除草等管护工作，质保期满后即由运行单位负责绿化植物的管护措施，以更好发挥植物绿化美化和水土保持效果。</w:t>
      </w:r>
    </w:p>
    <w:p>
      <w:pPr>
        <w:spacing w:before="120"/>
        <w:ind w:firstLine="480"/>
      </w:pPr>
      <w:r>
        <w:t>经现场检查，本工程水土保持设施投入试运行以来，排水设施得到了有效管护，运行正常；植物措施已加强后期管护，确保了成活率，发挥了绿化美化和保持水土的双重作用，具备</w:t>
      </w:r>
      <w:r>
        <w:rPr>
          <w:rFonts w:hint="eastAsia"/>
          <w:lang w:eastAsia="zh-CN"/>
        </w:rPr>
        <w:t>完工</w:t>
      </w:r>
      <w:r>
        <w:t>验收条件。</w:t>
      </w:r>
    </w:p>
    <w:p>
      <w:pPr>
        <w:pStyle w:val="2"/>
        <w:spacing w:before="120" w:after="120"/>
        <w:ind w:firstLine="0" w:firstLineChars="0"/>
        <w:rPr>
          <w:b/>
          <w:bCs/>
        </w:rPr>
      </w:pPr>
      <w:bookmarkStart w:id="136" w:name="_Toc515873347"/>
      <w:bookmarkStart w:id="137" w:name="_Toc1709"/>
      <w:r>
        <w:rPr>
          <w:rFonts w:hint="eastAsia"/>
          <w:b/>
          <w:bCs/>
        </w:rPr>
        <w:t xml:space="preserve">5.2  </w:t>
      </w:r>
      <w:r>
        <w:rPr>
          <w:b/>
          <w:bCs/>
        </w:rPr>
        <w:t>水土保持效果</w:t>
      </w:r>
      <w:bookmarkEnd w:id="136"/>
      <w:bookmarkEnd w:id="137"/>
    </w:p>
    <w:p>
      <w:pPr>
        <w:pStyle w:val="4"/>
        <w:numPr>
          <w:ilvl w:val="2"/>
          <w:numId w:val="0"/>
        </w:numPr>
        <w:spacing w:before="120"/>
      </w:pPr>
      <w:bookmarkStart w:id="138" w:name="_Toc496268092"/>
      <w:bookmarkStart w:id="139" w:name="_Toc489977048"/>
      <w:bookmarkStart w:id="140" w:name="_Toc11151"/>
      <w:bookmarkStart w:id="141" w:name="_Toc484280830"/>
      <w:bookmarkStart w:id="142" w:name="_Toc29213"/>
      <w:bookmarkStart w:id="143" w:name="_Toc26712"/>
      <w:bookmarkStart w:id="144" w:name="_Toc515873348"/>
      <w:r>
        <w:rPr>
          <w:rFonts w:hint="eastAsia"/>
        </w:rPr>
        <w:t xml:space="preserve">5.2.1  </w:t>
      </w:r>
      <w:r>
        <w:t>验收标准</w:t>
      </w:r>
      <w:bookmarkEnd w:id="138"/>
      <w:bookmarkEnd w:id="139"/>
      <w:bookmarkEnd w:id="140"/>
      <w:bookmarkEnd w:id="141"/>
      <w:bookmarkEnd w:id="142"/>
      <w:bookmarkEnd w:id="143"/>
      <w:bookmarkEnd w:id="144"/>
    </w:p>
    <w:p>
      <w:pPr>
        <w:spacing w:before="120"/>
        <w:ind w:firstLine="480"/>
      </w:pPr>
      <w:r>
        <w:t>根据《全国水土保持规划国家级水土流失重点预防区和重点治理区复核划分成果》的通知（办水保[2013]188 号，2013 年7月），该工程建设所涉及的四川省甘孜州</w:t>
      </w:r>
      <w:r>
        <w:rPr>
          <w:rFonts w:hint="eastAsia"/>
          <w:lang w:eastAsia="zh-CN"/>
        </w:rPr>
        <w:t>康定市</w:t>
      </w:r>
      <w:r>
        <w:t>为</w:t>
      </w:r>
      <w:r>
        <w:rPr>
          <w:rFonts w:cs="Times New Roman"/>
        </w:rPr>
        <w:t>雅砻江、</w:t>
      </w:r>
      <w:r>
        <w:rPr>
          <w:rFonts w:hint="eastAsia" w:cs="Times New Roman"/>
        </w:rPr>
        <w:t>大渡河中下游游省级水土流失重点预防区</w:t>
      </w:r>
      <w:r>
        <w:t>，</w:t>
      </w:r>
      <w:r>
        <w:rPr>
          <w:rFonts w:hint="eastAsia" w:ascii="Times New Roman" w:hAnsi="Times New Roman" w:eastAsia="仿宋_GB2312" w:cs="Times New Roman"/>
          <w:color w:val="000000"/>
          <w:sz w:val="24"/>
          <w:szCs w:val="24"/>
          <w:lang w:val="en-US" w:eastAsia="zh-CN" w:bidi="ar"/>
        </w:rPr>
        <w:t>项目属于青藏高原区，</w:t>
      </w:r>
      <w:r>
        <w:rPr>
          <w:rFonts w:hint="eastAsia" w:cs="Times New Roman"/>
          <w:color w:val="000000"/>
          <w:sz w:val="24"/>
          <w:szCs w:val="24"/>
          <w:lang w:val="en-US" w:eastAsia="zh-CN" w:bidi="ar"/>
        </w:rPr>
        <w:t>因此</w:t>
      </w:r>
      <w:r>
        <w:t>执行</w:t>
      </w:r>
      <w:r>
        <w:rPr>
          <w:rFonts w:hint="eastAsia" w:ascii="Times New Roman" w:hAnsi="Times New Roman" w:eastAsia="仿宋_GB2312" w:cs="Times New Roman"/>
          <w:color w:val="000000"/>
          <w:sz w:val="24"/>
          <w:szCs w:val="24"/>
          <w:lang w:val="en-US" w:eastAsia="zh-CN" w:bidi="ar"/>
        </w:rPr>
        <w:t>青藏高原区建设类一级标准</w:t>
      </w:r>
      <w:r>
        <w:t>。</w:t>
      </w:r>
    </w:p>
    <w:p>
      <w:pPr>
        <w:spacing w:before="120"/>
        <w:ind w:firstLine="480"/>
      </w:pPr>
      <w:r>
        <w:t>根据水土保持方案报告表及</w:t>
      </w:r>
      <w:r>
        <w:rPr>
          <w:rFonts w:hint="eastAsia"/>
          <w:lang w:val="en-US" w:eastAsia="zh-CN"/>
        </w:rPr>
        <w:t>康定市</w:t>
      </w:r>
      <w:r>
        <w:t>水利局</w:t>
      </w:r>
      <w:r>
        <w:rPr>
          <w:rFonts w:hint="eastAsia"/>
          <w:lang w:val="en-US" w:eastAsia="zh-CN"/>
        </w:rPr>
        <w:t>行政许可</w:t>
      </w:r>
      <w:r>
        <w:rPr>
          <w:color w:val="000000" w:themeColor="text1"/>
        </w:rPr>
        <w:t>（</w:t>
      </w:r>
      <w:r>
        <w:rPr>
          <w:rFonts w:hint="eastAsia"/>
          <w:color w:val="000000" w:themeColor="text1"/>
          <w:lang w:val="en-US" w:eastAsia="zh-CN"/>
        </w:rPr>
        <w:t>康水利</w:t>
      </w:r>
      <w:r>
        <w:rPr>
          <w:color w:val="000000" w:themeColor="text1"/>
        </w:rPr>
        <w:t>[20</w:t>
      </w:r>
      <w:r>
        <w:rPr>
          <w:rFonts w:hint="eastAsia"/>
          <w:color w:val="000000" w:themeColor="text1"/>
          <w:lang w:val="en-US" w:eastAsia="zh-CN"/>
        </w:rPr>
        <w:t>20</w:t>
      </w:r>
      <w:r>
        <w:rPr>
          <w:color w:val="000000" w:themeColor="text1"/>
        </w:rPr>
        <w:t>]</w:t>
      </w:r>
      <w:r>
        <w:rPr>
          <w:rFonts w:hint="eastAsia"/>
          <w:color w:val="000000" w:themeColor="text1"/>
          <w:lang w:val="en-US" w:eastAsia="zh-CN"/>
        </w:rPr>
        <w:t>102</w:t>
      </w:r>
      <w:r>
        <w:rPr>
          <w:color w:val="000000" w:themeColor="text1"/>
        </w:rPr>
        <w:t>号）</w:t>
      </w:r>
      <w:r>
        <w:t>，本工程水土流失防治目标值见表5.2-1。</w:t>
      </w:r>
    </w:p>
    <w:p>
      <w:pPr>
        <w:pStyle w:val="58"/>
        <w:spacing w:before="120"/>
        <w:rPr>
          <w:color w:val="auto"/>
        </w:rPr>
      </w:pPr>
      <w:r>
        <w:rPr>
          <w:color w:val="auto"/>
        </w:rPr>
        <w:t>水保方案</w:t>
      </w:r>
      <w:r>
        <w:rPr>
          <w:rFonts w:hint="eastAsia"/>
          <w:color w:val="auto"/>
        </w:rPr>
        <w:t>报告表</w:t>
      </w:r>
      <w:r>
        <w:rPr>
          <w:color w:val="auto"/>
        </w:rPr>
        <w:t>确定的水土流失防治目标</w:t>
      </w:r>
    </w:p>
    <w:p>
      <w:pPr>
        <w:pStyle w:val="13"/>
        <w:keepNext/>
      </w:pPr>
      <w:r>
        <w:t xml:space="preserve">表 </w:t>
      </w:r>
      <w:r>
        <w:rPr>
          <w:rFonts w:hint="eastAsia"/>
        </w:rPr>
        <w:t>5.2</w:t>
      </w:r>
      <w:r>
        <w:noBreakHyphen/>
      </w:r>
      <w:r>
        <w:fldChar w:fldCharType="begin"/>
      </w:r>
      <w:r>
        <w:instrText xml:space="preserve"> SEQ 表 \* ARABIC \s 2 </w:instrText>
      </w:r>
      <w:r>
        <w:fldChar w:fldCharType="separate"/>
      </w:r>
      <w:r>
        <w:t>1</w:t>
      </w:r>
      <w:r>
        <w:fldChar w:fldCharType="end"/>
      </w:r>
    </w:p>
    <w:tbl>
      <w:tblPr>
        <w:tblStyle w:val="32"/>
        <w:tblW w:w="852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27"/>
        <w:gridCol w:w="1989"/>
        <w:gridCol w:w="764"/>
        <w:gridCol w:w="1110"/>
        <w:gridCol w:w="786"/>
        <w:gridCol w:w="915"/>
        <w:gridCol w:w="654"/>
        <w:gridCol w:w="786"/>
        <w:gridCol w:w="10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427" w:type="dxa"/>
            <w:vMerge w:val="restart"/>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bookmarkStart w:id="145" w:name="_Toc32750"/>
            <w:bookmarkStart w:id="146" w:name="_Toc179641179"/>
            <w:bookmarkStart w:id="147" w:name="_Toc197182923"/>
            <w:bookmarkStart w:id="148" w:name="_Toc193098632"/>
            <w:bookmarkStart w:id="149" w:name="_Toc214765823"/>
            <w:bookmarkStart w:id="150" w:name="_Toc195694365"/>
            <w:bookmarkStart w:id="151" w:name="_Toc215376737"/>
            <w:bookmarkStart w:id="152" w:name="_Toc191832178"/>
            <w:r>
              <w:rPr>
                <w:rFonts w:ascii="Times New Roman" w:hAnsi="Times New Roman" w:eastAsia="仿宋_GB2312" w:cs="Times New Roman"/>
                <w:sz w:val="18"/>
                <w:szCs w:val="21"/>
                <w:lang w:val="en-US" w:eastAsia="zh-CN" w:bidi="ar-SA"/>
              </w:rPr>
              <w:t>序号</w:t>
            </w:r>
          </w:p>
        </w:tc>
        <w:tc>
          <w:tcPr>
            <w:tcW w:w="1989" w:type="dxa"/>
            <w:vMerge w:val="restart"/>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防治指标</w:t>
            </w:r>
          </w:p>
        </w:tc>
        <w:tc>
          <w:tcPr>
            <w:tcW w:w="1874" w:type="dxa"/>
            <w:gridSpan w:val="2"/>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规范一级标准</w:t>
            </w:r>
          </w:p>
        </w:tc>
        <w:tc>
          <w:tcPr>
            <w:tcW w:w="786" w:type="dxa"/>
            <w:vMerge w:val="restart"/>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干燥度修正</w:t>
            </w:r>
          </w:p>
        </w:tc>
        <w:tc>
          <w:tcPr>
            <w:tcW w:w="915" w:type="dxa"/>
            <w:vMerge w:val="restart"/>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土壤侵蚀强度修正</w:t>
            </w:r>
          </w:p>
        </w:tc>
        <w:tc>
          <w:tcPr>
            <w:tcW w:w="654" w:type="dxa"/>
            <w:vMerge w:val="restart"/>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hint="eastAsia" w:cs="Times New Roman"/>
                <w:sz w:val="18"/>
                <w:szCs w:val="21"/>
                <w:lang w:val="en-US" w:eastAsia="zh-CN" w:bidi="ar-SA"/>
              </w:rPr>
              <w:t>行业</w:t>
            </w:r>
            <w:r>
              <w:rPr>
                <w:rFonts w:ascii="Times New Roman" w:hAnsi="Times New Roman" w:eastAsia="仿宋_GB2312" w:cs="Times New Roman"/>
                <w:sz w:val="18"/>
                <w:szCs w:val="21"/>
                <w:lang w:val="en-US" w:eastAsia="zh-CN" w:bidi="ar-SA"/>
              </w:rPr>
              <w:t>修正</w:t>
            </w:r>
          </w:p>
        </w:tc>
        <w:tc>
          <w:tcPr>
            <w:tcW w:w="1877" w:type="dxa"/>
            <w:gridSpan w:val="2"/>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采用一级标准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427" w:type="dxa"/>
            <w:vMerge w:val="continue"/>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p>
        </w:tc>
        <w:tc>
          <w:tcPr>
            <w:tcW w:w="1989" w:type="dxa"/>
            <w:vMerge w:val="continue"/>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p>
        </w:tc>
        <w:tc>
          <w:tcPr>
            <w:tcW w:w="764"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施工期</w:t>
            </w:r>
          </w:p>
        </w:tc>
        <w:tc>
          <w:tcPr>
            <w:tcW w:w="1110"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设计水平年</w:t>
            </w:r>
          </w:p>
        </w:tc>
        <w:tc>
          <w:tcPr>
            <w:tcW w:w="786" w:type="dxa"/>
            <w:vMerge w:val="continue"/>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p>
        </w:tc>
        <w:tc>
          <w:tcPr>
            <w:tcW w:w="915" w:type="dxa"/>
            <w:vMerge w:val="continue"/>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p>
        </w:tc>
        <w:tc>
          <w:tcPr>
            <w:tcW w:w="654" w:type="dxa"/>
            <w:vMerge w:val="continue"/>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p>
        </w:tc>
        <w:tc>
          <w:tcPr>
            <w:tcW w:w="786"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施工期</w:t>
            </w:r>
          </w:p>
        </w:tc>
        <w:tc>
          <w:tcPr>
            <w:tcW w:w="1091"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设计水平年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427"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1</w:t>
            </w:r>
          </w:p>
        </w:tc>
        <w:tc>
          <w:tcPr>
            <w:tcW w:w="1989"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水土流失总治理度（%）</w:t>
            </w:r>
          </w:p>
        </w:tc>
        <w:tc>
          <w:tcPr>
            <w:tcW w:w="764"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1110"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85</w:t>
            </w:r>
          </w:p>
        </w:tc>
        <w:tc>
          <w:tcPr>
            <w:tcW w:w="786"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915"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654"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786"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1091"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427"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2</w:t>
            </w:r>
          </w:p>
        </w:tc>
        <w:tc>
          <w:tcPr>
            <w:tcW w:w="1989"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土壤流失控制比</w:t>
            </w:r>
          </w:p>
        </w:tc>
        <w:tc>
          <w:tcPr>
            <w:tcW w:w="764"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1110"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0.80</w:t>
            </w:r>
          </w:p>
        </w:tc>
        <w:tc>
          <w:tcPr>
            <w:tcW w:w="786"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915"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+0.20</w:t>
            </w:r>
          </w:p>
        </w:tc>
        <w:tc>
          <w:tcPr>
            <w:tcW w:w="654"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786"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1091"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427"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3</w:t>
            </w:r>
          </w:p>
        </w:tc>
        <w:tc>
          <w:tcPr>
            <w:tcW w:w="1989"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渣土防护率（%）</w:t>
            </w:r>
          </w:p>
        </w:tc>
        <w:tc>
          <w:tcPr>
            <w:tcW w:w="764"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85</w:t>
            </w:r>
          </w:p>
        </w:tc>
        <w:tc>
          <w:tcPr>
            <w:tcW w:w="1110"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87</w:t>
            </w:r>
          </w:p>
        </w:tc>
        <w:tc>
          <w:tcPr>
            <w:tcW w:w="786"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915"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654"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786"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sz w:val="18"/>
                <w:szCs w:val="21"/>
                <w:lang w:val="en-US" w:eastAsia="zh-CN" w:bidi="ar-SA"/>
              </w:rPr>
            </w:pPr>
            <w:r>
              <w:rPr>
                <w:rFonts w:hint="eastAsia" w:cs="Times New Roman"/>
                <w:sz w:val="18"/>
                <w:szCs w:val="21"/>
                <w:lang w:val="en-US" w:eastAsia="zh-CN" w:bidi="ar-SA"/>
              </w:rPr>
              <w:t>85</w:t>
            </w:r>
          </w:p>
        </w:tc>
        <w:tc>
          <w:tcPr>
            <w:tcW w:w="1091"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sz w:val="18"/>
                <w:szCs w:val="21"/>
                <w:lang w:val="en-US" w:eastAsia="zh-CN" w:bidi="ar-SA"/>
              </w:rPr>
            </w:pPr>
            <w:r>
              <w:rPr>
                <w:rFonts w:hint="eastAsia" w:cs="Times New Roman"/>
                <w:sz w:val="18"/>
                <w:szCs w:val="21"/>
                <w:lang w:val="en-US" w:eastAsia="zh-CN" w:bidi="ar-SA"/>
              </w:rPr>
              <w:t>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427"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4</w:t>
            </w:r>
          </w:p>
        </w:tc>
        <w:tc>
          <w:tcPr>
            <w:tcW w:w="1989"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表土保护率（%）</w:t>
            </w:r>
          </w:p>
        </w:tc>
        <w:tc>
          <w:tcPr>
            <w:tcW w:w="764"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90</w:t>
            </w:r>
          </w:p>
        </w:tc>
        <w:tc>
          <w:tcPr>
            <w:tcW w:w="1110"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90</w:t>
            </w:r>
          </w:p>
        </w:tc>
        <w:tc>
          <w:tcPr>
            <w:tcW w:w="786"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915"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654"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786"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1091"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hint="eastAsia" w:cs="Times New Roman"/>
                <w:sz w:val="18"/>
                <w:szCs w:val="21"/>
                <w:lang w:val="en-US" w:eastAsia="zh-CN" w:bidi="ar-SA"/>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427"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5</w:t>
            </w:r>
          </w:p>
        </w:tc>
        <w:tc>
          <w:tcPr>
            <w:tcW w:w="1989"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林草植被恢复率（%）</w:t>
            </w:r>
          </w:p>
        </w:tc>
        <w:tc>
          <w:tcPr>
            <w:tcW w:w="764"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1110"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95</w:t>
            </w:r>
          </w:p>
        </w:tc>
        <w:tc>
          <w:tcPr>
            <w:tcW w:w="786"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915"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654"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786"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1091"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jc w:val="center"/>
        </w:trPr>
        <w:tc>
          <w:tcPr>
            <w:tcW w:w="427"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6</w:t>
            </w:r>
          </w:p>
        </w:tc>
        <w:tc>
          <w:tcPr>
            <w:tcW w:w="1989"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林草覆盖率（%）</w:t>
            </w:r>
          </w:p>
        </w:tc>
        <w:tc>
          <w:tcPr>
            <w:tcW w:w="764"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1110"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16</w:t>
            </w:r>
          </w:p>
        </w:tc>
        <w:tc>
          <w:tcPr>
            <w:tcW w:w="786"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915"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654"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hint="default" w:ascii="Times New Roman" w:hAnsi="Times New Roman" w:eastAsia="仿宋_GB2312" w:cs="Times New Roman"/>
                <w:sz w:val="18"/>
                <w:szCs w:val="21"/>
                <w:lang w:val="en-US" w:eastAsia="zh-CN" w:bidi="ar-SA"/>
              </w:rPr>
            </w:pPr>
            <w:r>
              <w:rPr>
                <w:rFonts w:hint="eastAsia" w:cs="Times New Roman"/>
                <w:sz w:val="18"/>
                <w:szCs w:val="21"/>
                <w:lang w:val="en-US" w:eastAsia="zh-CN" w:bidi="ar-SA"/>
              </w:rPr>
              <w:t>-7</w:t>
            </w:r>
          </w:p>
        </w:tc>
        <w:tc>
          <w:tcPr>
            <w:tcW w:w="786"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ascii="Times New Roman" w:hAnsi="Times New Roman" w:eastAsia="仿宋_GB2312" w:cs="Times New Roman"/>
                <w:sz w:val="18"/>
                <w:szCs w:val="21"/>
                <w:lang w:val="en-US" w:eastAsia="zh-CN" w:bidi="ar-SA"/>
              </w:rPr>
              <w:t>*</w:t>
            </w:r>
          </w:p>
        </w:tc>
        <w:tc>
          <w:tcPr>
            <w:tcW w:w="1091" w:type="dxa"/>
            <w:vAlign w:val="center"/>
          </w:tcPr>
          <w:p>
            <w:pPr>
              <w:keepNext w:val="0"/>
              <w:keepLines w:val="0"/>
              <w:widowControl/>
              <w:suppressLineNumbers w:val="0"/>
              <w:adjustRightInd w:val="0"/>
              <w:snapToGrid w:val="0"/>
              <w:spacing w:before="0" w:beforeAutospacing="0" w:after="0" w:afterAutospacing="0" w:line="240" w:lineRule="auto"/>
              <w:ind w:left="0" w:right="0" w:firstLine="0" w:firstLineChars="0"/>
              <w:jc w:val="center"/>
              <w:rPr>
                <w:rFonts w:ascii="Times New Roman" w:hAnsi="Times New Roman" w:eastAsia="仿宋_GB2312" w:cs="Times New Roman"/>
                <w:sz w:val="18"/>
                <w:szCs w:val="21"/>
                <w:lang w:val="en-US" w:eastAsia="zh-CN" w:bidi="ar-SA"/>
              </w:rPr>
            </w:pPr>
            <w:r>
              <w:rPr>
                <w:rFonts w:hint="eastAsia" w:cs="Times New Roman"/>
                <w:sz w:val="18"/>
                <w:szCs w:val="21"/>
                <w:lang w:val="en-US" w:eastAsia="zh-CN" w:bidi="ar-SA"/>
              </w:rPr>
              <w:t>9</w:t>
            </w:r>
          </w:p>
        </w:tc>
      </w:tr>
      <w:bookmarkEnd w:id="145"/>
      <w:bookmarkEnd w:id="146"/>
      <w:bookmarkEnd w:id="147"/>
      <w:bookmarkEnd w:id="148"/>
      <w:bookmarkEnd w:id="149"/>
      <w:bookmarkEnd w:id="150"/>
      <w:bookmarkEnd w:id="151"/>
      <w:bookmarkEnd w:id="152"/>
    </w:tbl>
    <w:p>
      <w:pPr>
        <w:spacing w:before="120"/>
        <w:ind w:left="0" w:leftChars="0" w:firstLine="0" w:firstLineChars="0"/>
        <w:rPr>
          <w:rFonts w:hint="default" w:eastAsia="仿宋_GB2312"/>
          <w:sz w:val="21"/>
          <w:szCs w:val="21"/>
          <w:lang w:val="en-US" w:eastAsia="zh-CN"/>
        </w:rPr>
      </w:pPr>
      <w:r>
        <w:rPr>
          <w:rFonts w:hint="eastAsia"/>
          <w:sz w:val="21"/>
          <w:szCs w:val="21"/>
          <w:lang w:val="en-US" w:eastAsia="zh-CN"/>
        </w:rPr>
        <w:t>注：1）本项目用地为原变电站存量土地，用地范围内表层土为素填土，混板岩碎石及角砾，由已建新都桥500kV变电站场平回填造成，无表土可剥离，故本方案不将表土保护率作为本项目水土流失防治目标；2）根据《国家电网标准化手册（2014版）》的要求“站内不得进行绿化”，结合项目实际情况，对项目林草覆盖率进行调整。</w:t>
      </w:r>
    </w:p>
    <w:p>
      <w:pPr>
        <w:spacing w:before="120"/>
        <w:ind w:firstLine="480"/>
      </w:pPr>
      <w:r>
        <w:t>工程各区域在施工过程中，采取了适宜的水土保持措施，水土保持工程的总体布局合理，效果明显，达到水土保持方案设计要求。水土保持措施主要采用排水沟、</w:t>
      </w:r>
      <w:r>
        <w:rPr>
          <w:rFonts w:hint="eastAsia"/>
          <w:lang w:val="en-US" w:eastAsia="zh-CN"/>
        </w:rPr>
        <w:t>排水管</w:t>
      </w:r>
      <w:r>
        <w:t>、撒草等，有效地控制了水土流失，而且也保证了工程的安全运行，因此，主体工程和水土保持方案中所设计的水土保持措施是可行的。</w:t>
      </w:r>
    </w:p>
    <w:p>
      <w:pPr>
        <w:pStyle w:val="4"/>
        <w:numPr>
          <w:ilvl w:val="2"/>
          <w:numId w:val="0"/>
        </w:numPr>
        <w:spacing w:before="120"/>
      </w:pPr>
      <w:bookmarkStart w:id="153" w:name="_Toc515873349"/>
      <w:bookmarkStart w:id="154" w:name="_Toc484280831"/>
      <w:bookmarkStart w:id="155" w:name="_Toc32255"/>
      <w:bookmarkStart w:id="156" w:name="_Toc14793"/>
      <w:bookmarkStart w:id="157" w:name="_Toc496268093"/>
      <w:bookmarkStart w:id="158" w:name="_Toc26133"/>
      <w:bookmarkStart w:id="159" w:name="_Toc489977049"/>
      <w:r>
        <w:rPr>
          <w:rFonts w:hint="eastAsia"/>
        </w:rPr>
        <w:t xml:space="preserve">5.2.2  </w:t>
      </w:r>
      <w:r>
        <w:t>水土流失治理</w:t>
      </w:r>
      <w:bookmarkEnd w:id="153"/>
      <w:bookmarkEnd w:id="154"/>
      <w:bookmarkEnd w:id="155"/>
      <w:bookmarkEnd w:id="156"/>
      <w:bookmarkEnd w:id="157"/>
      <w:bookmarkEnd w:id="158"/>
      <w:bookmarkEnd w:id="159"/>
    </w:p>
    <w:p>
      <w:pPr>
        <w:spacing w:before="120"/>
        <w:ind w:firstLine="480"/>
      </w:pPr>
      <w:r>
        <w:t>（1）</w:t>
      </w:r>
      <w:r>
        <w:rPr>
          <w:rFonts w:hint="eastAsia"/>
        </w:rPr>
        <w:t>水土流失总治理度</w:t>
      </w:r>
    </w:p>
    <w:p>
      <w:pPr>
        <w:spacing w:beforeLines="0"/>
        <w:ind w:firstLine="480"/>
        <w:rPr>
          <w:color w:val="000000" w:themeColor="text1"/>
        </w:rPr>
      </w:pPr>
      <w:r>
        <w:rPr>
          <w:rFonts w:hint="eastAsia"/>
        </w:rPr>
        <w:t>水土流失总治理度</w:t>
      </w:r>
      <w:r>
        <w:t>是指项目</w:t>
      </w:r>
      <w:r>
        <w:rPr>
          <w:rFonts w:hint="eastAsia"/>
        </w:rPr>
        <w:t>水土流失防治责任范围</w:t>
      </w:r>
      <w:r>
        <w:t>内</w:t>
      </w:r>
      <w:r>
        <w:rPr>
          <w:rFonts w:hint="eastAsia"/>
        </w:rPr>
        <w:t>水土流失治理达标</w:t>
      </w:r>
      <w:r>
        <w:t>面积占</w:t>
      </w:r>
      <w:r>
        <w:rPr>
          <w:rFonts w:hint="eastAsia"/>
        </w:rPr>
        <w:t>水土流失</w:t>
      </w:r>
      <w:r>
        <w:t>总面积的</w:t>
      </w:r>
      <w:r>
        <w:rPr>
          <w:color w:val="000000" w:themeColor="text1"/>
        </w:rPr>
        <w:t>百分比。通过调查项目区相关资料，</w:t>
      </w:r>
      <w:r>
        <w:rPr>
          <w:rFonts w:hint="eastAsia"/>
          <w:color w:val="000000" w:themeColor="text1"/>
          <w:lang w:eastAsia="zh-CN"/>
        </w:rPr>
        <w:t>甘孜康定新都桥220kV临时变35kV配套工程</w:t>
      </w:r>
      <w:r>
        <w:rPr>
          <w:color w:val="000000" w:themeColor="text1"/>
        </w:rPr>
        <w:t>实际扰动土地总面积为</w:t>
      </w:r>
      <w:r>
        <w:rPr>
          <w:rFonts w:hint="eastAsia"/>
          <w:color w:val="000000" w:themeColor="text1"/>
          <w:lang w:val="en-US" w:eastAsia="zh-CN"/>
        </w:rPr>
        <w:t>0.25</w:t>
      </w:r>
      <w:r>
        <w:rPr>
          <w:color w:val="000000" w:themeColor="text1"/>
        </w:rPr>
        <w:t>hm</w:t>
      </w:r>
      <w:r>
        <w:rPr>
          <w:color w:val="000000" w:themeColor="text1"/>
          <w:vertAlign w:val="superscript"/>
        </w:rPr>
        <w:t>2</w:t>
      </w:r>
      <w:r>
        <w:rPr>
          <w:color w:val="000000" w:themeColor="text1"/>
        </w:rPr>
        <w:t>，各类措施治理</w:t>
      </w:r>
      <w:r>
        <w:rPr>
          <w:rFonts w:hint="eastAsia"/>
          <w:color w:val="000000" w:themeColor="text1"/>
        </w:rPr>
        <w:t>达标</w:t>
      </w:r>
      <w:r>
        <w:rPr>
          <w:color w:val="000000" w:themeColor="text1"/>
        </w:rPr>
        <w:t>面积加上建筑物占压面积共</w:t>
      </w:r>
      <w:r>
        <w:rPr>
          <w:rFonts w:hint="eastAsia"/>
          <w:color w:val="000000" w:themeColor="text1"/>
          <w:lang w:val="en-US" w:eastAsia="zh-CN"/>
        </w:rPr>
        <w:t>0.24</w:t>
      </w:r>
      <w:r>
        <w:rPr>
          <w:color w:val="000000" w:themeColor="text1"/>
        </w:rPr>
        <w:t>hm</w:t>
      </w:r>
      <w:r>
        <w:rPr>
          <w:color w:val="000000" w:themeColor="text1"/>
          <w:vertAlign w:val="superscript"/>
        </w:rPr>
        <w:t>2</w:t>
      </w:r>
      <w:r>
        <w:rPr>
          <w:color w:val="000000" w:themeColor="text1"/>
        </w:rPr>
        <w:t>，</w:t>
      </w:r>
      <w:r>
        <w:rPr>
          <w:rFonts w:hint="eastAsia"/>
          <w:color w:val="000000" w:themeColor="text1"/>
        </w:rPr>
        <w:t>水土流失总治理度</w:t>
      </w:r>
      <w:r>
        <w:rPr>
          <w:color w:val="000000" w:themeColor="text1"/>
        </w:rPr>
        <w:t>为9</w:t>
      </w:r>
      <w:r>
        <w:rPr>
          <w:rFonts w:hint="eastAsia"/>
          <w:color w:val="000000" w:themeColor="text1"/>
        </w:rPr>
        <w:t>6</w:t>
      </w:r>
      <w:r>
        <w:rPr>
          <w:color w:val="000000" w:themeColor="text1"/>
        </w:rPr>
        <w:t>%，达到本工程防治目标</w:t>
      </w:r>
      <w:r>
        <w:rPr>
          <w:rFonts w:hint="eastAsia"/>
          <w:color w:val="000000" w:themeColor="text1"/>
        </w:rPr>
        <w:t>8</w:t>
      </w:r>
      <w:r>
        <w:rPr>
          <w:rFonts w:hint="eastAsia"/>
          <w:color w:val="000000" w:themeColor="text1"/>
          <w:lang w:val="en-US" w:eastAsia="zh-CN"/>
        </w:rPr>
        <w:t>5</w:t>
      </w:r>
      <w:r>
        <w:rPr>
          <w:color w:val="000000" w:themeColor="text1"/>
        </w:rPr>
        <w:t>%的要求。</w:t>
      </w:r>
    </w:p>
    <w:p>
      <w:pPr>
        <w:spacing w:beforeLines="0"/>
        <w:ind w:firstLine="480"/>
      </w:pPr>
      <w:r>
        <w:t>各分区的</w:t>
      </w:r>
      <w:r>
        <w:rPr>
          <w:rFonts w:hint="eastAsia"/>
        </w:rPr>
        <w:t>水土流失总治理度</w:t>
      </w:r>
      <w:r>
        <w:t>见表5.2-2。</w:t>
      </w:r>
    </w:p>
    <w:p>
      <w:pPr>
        <w:pStyle w:val="58"/>
        <w:spacing w:before="120"/>
        <w:rPr>
          <w:color w:val="auto"/>
        </w:rPr>
      </w:pPr>
      <w:r>
        <w:rPr>
          <w:color w:val="auto"/>
        </w:rPr>
        <w:t>各防治分区</w:t>
      </w:r>
      <w:r>
        <w:rPr>
          <w:rFonts w:hint="eastAsia"/>
          <w:color w:val="auto"/>
        </w:rPr>
        <w:t>水土流失总治理度</w:t>
      </w:r>
      <w:r>
        <w:rPr>
          <w:color w:val="auto"/>
        </w:rPr>
        <w:t>一览表</w:t>
      </w:r>
    </w:p>
    <w:p>
      <w:pPr>
        <w:pStyle w:val="13"/>
        <w:keepNext/>
      </w:pPr>
      <w:r>
        <w:t xml:space="preserve">表 </w:t>
      </w:r>
      <w:r>
        <w:rPr>
          <w:rFonts w:hint="eastAsia"/>
        </w:rPr>
        <w:t>5.2</w:t>
      </w:r>
      <w:r>
        <w:noBreakHyphen/>
      </w:r>
      <w:r>
        <w:fldChar w:fldCharType="begin"/>
      </w:r>
      <w:r>
        <w:instrText xml:space="preserve"> SEQ 表 \* ARABIC \s 2 </w:instrText>
      </w:r>
      <w:r>
        <w:fldChar w:fldCharType="separate"/>
      </w:r>
      <w:r>
        <w:t>2</w:t>
      </w:r>
      <w:r>
        <w:fldChar w:fldCharType="end"/>
      </w:r>
    </w:p>
    <w:tbl>
      <w:tblPr>
        <w:tblStyle w:val="32"/>
        <w:tblW w:w="8429"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1267"/>
        <w:gridCol w:w="722"/>
        <w:gridCol w:w="832"/>
        <w:gridCol w:w="1103"/>
        <w:gridCol w:w="1053"/>
        <w:gridCol w:w="1274"/>
        <w:gridCol w:w="832"/>
        <w:gridCol w:w="1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267" w:type="dxa"/>
            <w:vMerge w:val="restart"/>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分区</w:t>
            </w:r>
          </w:p>
        </w:tc>
        <w:tc>
          <w:tcPr>
            <w:tcW w:w="722"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总面积</w:t>
            </w:r>
          </w:p>
        </w:tc>
        <w:tc>
          <w:tcPr>
            <w:tcW w:w="832"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rPr>
              <w:t>水土流失</w:t>
            </w:r>
            <w:r>
              <w:rPr>
                <w:rFonts w:cs="Times New Roman"/>
                <w:color w:val="auto"/>
                <w:sz w:val="18"/>
              </w:rPr>
              <w:t>面积</w:t>
            </w:r>
          </w:p>
        </w:tc>
        <w:tc>
          <w:tcPr>
            <w:tcW w:w="1103"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工程措施面积</w:t>
            </w:r>
          </w:p>
        </w:tc>
        <w:tc>
          <w:tcPr>
            <w:tcW w:w="1053"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植被覆盖面积</w:t>
            </w:r>
          </w:p>
        </w:tc>
        <w:tc>
          <w:tcPr>
            <w:tcW w:w="1274"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硬化及建筑物面积</w:t>
            </w:r>
          </w:p>
        </w:tc>
        <w:tc>
          <w:tcPr>
            <w:tcW w:w="832"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rPr>
              <w:t>达标</w:t>
            </w:r>
            <w:r>
              <w:rPr>
                <w:rFonts w:cs="Times New Roman"/>
                <w:color w:val="auto"/>
                <w:sz w:val="18"/>
              </w:rPr>
              <w:t>面积</w:t>
            </w:r>
          </w:p>
        </w:tc>
        <w:tc>
          <w:tcPr>
            <w:tcW w:w="1346"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rPr>
              <w:t>水土流失总治理度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267" w:type="dxa"/>
            <w:vMerge w:val="continue"/>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5816" w:type="dxa"/>
            <w:gridSpan w:val="6"/>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单位：hm</w:t>
            </w:r>
            <w:r>
              <w:rPr>
                <w:rFonts w:cs="Times New Roman"/>
                <w:color w:val="auto"/>
                <w:sz w:val="18"/>
                <w:vertAlign w:val="superscript"/>
              </w:rPr>
              <w:t>2</w:t>
            </w:r>
          </w:p>
        </w:tc>
        <w:tc>
          <w:tcPr>
            <w:tcW w:w="1346"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267"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ascii="仿宋_GB2312" w:hAnsi="仿宋_GB2312" w:eastAsia="仿宋_GB2312" w:cs="仿宋_GB2312"/>
                <w:color w:val="auto"/>
                <w:sz w:val="18"/>
                <w:lang w:val="en-US" w:eastAsia="zh-CN"/>
              </w:rPr>
            </w:pPr>
            <w:r>
              <w:rPr>
                <w:rFonts w:hint="eastAsia" w:ascii="仿宋_GB2312" w:hAnsi="仿宋_GB2312" w:eastAsia="仿宋_GB2312" w:cs="仿宋_GB2312"/>
                <w:color w:val="auto"/>
                <w:sz w:val="18"/>
                <w:lang w:val="en-US" w:eastAsia="zh-CN"/>
              </w:rPr>
              <w:t>变电站及进站道路用地区</w:t>
            </w:r>
          </w:p>
        </w:tc>
        <w:tc>
          <w:tcPr>
            <w:tcW w:w="722"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s="Times New Roman"/>
                <w:color w:val="auto"/>
                <w:sz w:val="18"/>
                <w:lang w:val="en-US" w:eastAsia="zh-CN"/>
              </w:rPr>
              <w:t>0.20</w:t>
            </w:r>
          </w:p>
        </w:tc>
        <w:tc>
          <w:tcPr>
            <w:tcW w:w="832"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eastAsia="宋体"/>
                <w:color w:val="auto"/>
                <w:sz w:val="18"/>
              </w:rPr>
            </w:pPr>
            <w:r>
              <w:rPr>
                <w:rFonts w:hint="eastAsia" w:eastAsia="宋体" w:cs="Times New Roman"/>
                <w:color w:val="auto"/>
                <w:sz w:val="18"/>
                <w:lang w:val="en-US" w:eastAsia="zh-CN"/>
              </w:rPr>
              <w:t>0.20</w:t>
            </w:r>
          </w:p>
        </w:tc>
        <w:tc>
          <w:tcPr>
            <w:tcW w:w="1103"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olor w:val="auto"/>
                <w:sz w:val="18"/>
                <w:lang w:val="en-US" w:eastAsia="zh-CN"/>
              </w:rPr>
              <w:t>0.04</w:t>
            </w:r>
          </w:p>
        </w:tc>
        <w:tc>
          <w:tcPr>
            <w:tcW w:w="1053"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olor w:val="auto"/>
                <w:sz w:val="18"/>
                <w:lang w:val="en-US" w:eastAsia="zh-CN"/>
              </w:rPr>
              <w:t>0.03</w:t>
            </w:r>
          </w:p>
        </w:tc>
        <w:tc>
          <w:tcPr>
            <w:tcW w:w="1274"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olor w:val="auto"/>
                <w:sz w:val="18"/>
                <w:lang w:val="en-US" w:eastAsia="zh-CN"/>
              </w:rPr>
              <w:t>0.13</w:t>
            </w:r>
          </w:p>
        </w:tc>
        <w:tc>
          <w:tcPr>
            <w:tcW w:w="832"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olor w:val="auto"/>
                <w:sz w:val="18"/>
                <w:lang w:val="en-US" w:eastAsia="zh-CN"/>
              </w:rPr>
              <w:t>0.19</w:t>
            </w:r>
          </w:p>
        </w:tc>
        <w:tc>
          <w:tcPr>
            <w:tcW w:w="1346" w:type="dxa"/>
            <w:shd w:val="clear" w:color="auto" w:fill="auto"/>
            <w:vAlign w:val="center"/>
          </w:tcPr>
          <w:p>
            <w:pPr>
              <w:pStyle w:val="53"/>
              <w:keepNext w:val="0"/>
              <w:keepLines w:val="0"/>
              <w:widowControl/>
              <w:suppressLineNumbers w:val="0"/>
              <w:spacing w:before="0" w:beforeAutospacing="0" w:after="0" w:afterAutospacing="0"/>
              <w:ind w:left="0" w:right="0"/>
              <w:rPr>
                <w:rFonts w:eastAsia="宋体"/>
                <w:color w:val="auto"/>
                <w:sz w:val="18"/>
              </w:rPr>
            </w:pPr>
            <w:r>
              <w:rPr>
                <w:rFonts w:hint="eastAsia"/>
                <w:color w:val="auto"/>
                <w:sz w:val="18"/>
                <w:lang w:val="en-US" w:eastAsia="zh-CN"/>
              </w:rPr>
              <w:t>95</w:t>
            </w:r>
            <w:r>
              <w:rPr>
                <w:color w:val="auto"/>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267"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ascii="仿宋_GB2312" w:hAnsi="仿宋_GB2312" w:eastAsia="仿宋_GB2312" w:cs="仿宋_GB2312"/>
                <w:color w:val="auto"/>
                <w:sz w:val="18"/>
                <w:lang w:val="en-US" w:eastAsia="zh-CN"/>
              </w:rPr>
            </w:pPr>
            <w:r>
              <w:rPr>
                <w:rFonts w:hint="eastAsia" w:ascii="仿宋_GB2312" w:hAnsi="仿宋_GB2312" w:eastAsia="仿宋_GB2312" w:cs="仿宋_GB2312"/>
                <w:color w:val="auto"/>
                <w:sz w:val="18"/>
                <w:lang w:val="en-US" w:eastAsia="zh-CN"/>
              </w:rPr>
              <w:t>电缆沟用地区</w:t>
            </w:r>
          </w:p>
        </w:tc>
        <w:tc>
          <w:tcPr>
            <w:tcW w:w="722"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s="Times New Roman"/>
                <w:color w:val="auto"/>
                <w:sz w:val="18"/>
                <w:lang w:val="en-US" w:eastAsia="zh-CN"/>
              </w:rPr>
              <w:t>0.05</w:t>
            </w:r>
          </w:p>
        </w:tc>
        <w:tc>
          <w:tcPr>
            <w:tcW w:w="832"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eastAsia="宋体"/>
                <w:color w:val="auto"/>
                <w:sz w:val="18"/>
              </w:rPr>
            </w:pPr>
            <w:r>
              <w:rPr>
                <w:rFonts w:hint="eastAsia" w:eastAsia="宋体" w:cs="Times New Roman"/>
                <w:color w:val="auto"/>
                <w:sz w:val="18"/>
                <w:lang w:val="en-US" w:eastAsia="zh-CN"/>
              </w:rPr>
              <w:t>0.05</w:t>
            </w:r>
          </w:p>
        </w:tc>
        <w:tc>
          <w:tcPr>
            <w:tcW w:w="1103"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p>
        </w:tc>
        <w:tc>
          <w:tcPr>
            <w:tcW w:w="1053"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p>
        </w:tc>
        <w:tc>
          <w:tcPr>
            <w:tcW w:w="1274"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olor w:val="auto"/>
                <w:sz w:val="18"/>
                <w:lang w:val="en-US" w:eastAsia="zh-CN"/>
              </w:rPr>
              <w:t>0.05</w:t>
            </w:r>
          </w:p>
        </w:tc>
        <w:tc>
          <w:tcPr>
            <w:tcW w:w="832"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olor w:val="auto"/>
                <w:sz w:val="18"/>
                <w:lang w:val="en-US" w:eastAsia="zh-CN"/>
              </w:rPr>
              <w:t>0.05</w:t>
            </w:r>
          </w:p>
        </w:tc>
        <w:tc>
          <w:tcPr>
            <w:tcW w:w="134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olor w:val="auto"/>
                <w:sz w:val="18"/>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1267" w:type="dxa"/>
            <w:shd w:val="clear" w:color="auto" w:fill="auto"/>
            <w:vAlign w:val="center"/>
          </w:tcPr>
          <w:p>
            <w:pPr>
              <w:pStyle w:val="53"/>
              <w:keepNext w:val="0"/>
              <w:keepLines w:val="0"/>
              <w:widowControl/>
              <w:suppressLineNumbers w:val="0"/>
              <w:spacing w:before="0" w:beforeAutospacing="0" w:after="0" w:afterAutospacing="0"/>
              <w:ind w:left="0" w:right="0"/>
              <w:rPr>
                <w:rFonts w:ascii="仿宋_GB2312" w:hAnsi="宋体" w:cs="宋体"/>
                <w:color w:val="auto"/>
                <w:sz w:val="18"/>
              </w:rPr>
            </w:pPr>
            <w:r>
              <w:rPr>
                <w:rFonts w:hint="eastAsia" w:ascii="仿宋_GB2312"/>
                <w:color w:val="auto"/>
                <w:sz w:val="18"/>
              </w:rPr>
              <w:t>合计</w:t>
            </w:r>
          </w:p>
        </w:tc>
        <w:tc>
          <w:tcPr>
            <w:tcW w:w="722"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s="Times New Roman"/>
                <w:color w:val="auto"/>
                <w:sz w:val="18"/>
                <w:lang w:val="en-US" w:eastAsia="zh-CN"/>
              </w:rPr>
              <w:t>0.25</w:t>
            </w:r>
          </w:p>
        </w:tc>
        <w:tc>
          <w:tcPr>
            <w:tcW w:w="832"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eastAsia="宋体"/>
                <w:color w:val="auto"/>
                <w:sz w:val="18"/>
              </w:rPr>
            </w:pPr>
            <w:r>
              <w:rPr>
                <w:rFonts w:hint="eastAsia" w:eastAsia="宋体" w:cs="Times New Roman"/>
                <w:color w:val="auto"/>
                <w:sz w:val="18"/>
                <w:lang w:val="en-US" w:eastAsia="zh-CN"/>
              </w:rPr>
              <w:t>0.25</w:t>
            </w:r>
          </w:p>
        </w:tc>
        <w:tc>
          <w:tcPr>
            <w:tcW w:w="1103"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olor w:val="auto"/>
                <w:sz w:val="18"/>
                <w:lang w:val="en-US" w:eastAsia="zh-CN"/>
              </w:rPr>
              <w:t>0.04</w:t>
            </w:r>
          </w:p>
        </w:tc>
        <w:tc>
          <w:tcPr>
            <w:tcW w:w="1053"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olor w:val="auto"/>
                <w:sz w:val="18"/>
                <w:lang w:val="en-US" w:eastAsia="zh-CN"/>
              </w:rPr>
              <w:t>0.03</w:t>
            </w:r>
          </w:p>
        </w:tc>
        <w:tc>
          <w:tcPr>
            <w:tcW w:w="1274"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olor w:val="auto"/>
                <w:sz w:val="18"/>
                <w:lang w:val="en-US" w:eastAsia="zh-CN"/>
              </w:rPr>
              <w:t>0.18</w:t>
            </w:r>
          </w:p>
        </w:tc>
        <w:tc>
          <w:tcPr>
            <w:tcW w:w="832"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olor w:val="auto"/>
                <w:sz w:val="18"/>
                <w:lang w:val="en-US" w:eastAsia="zh-CN"/>
              </w:rPr>
              <w:t>0.24</w:t>
            </w:r>
          </w:p>
        </w:tc>
        <w:tc>
          <w:tcPr>
            <w:tcW w:w="134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olor w:val="auto"/>
                <w:sz w:val="18"/>
                <w:lang w:val="en-US" w:eastAsia="zh-CN"/>
              </w:rPr>
            </w:pPr>
            <w:r>
              <w:rPr>
                <w:rFonts w:hint="eastAsia" w:eastAsia="宋体"/>
                <w:color w:val="auto"/>
                <w:sz w:val="18"/>
                <w:lang w:val="en-US" w:eastAsia="zh-CN"/>
              </w:rPr>
              <w:t>96%</w:t>
            </w:r>
          </w:p>
        </w:tc>
      </w:tr>
    </w:tbl>
    <w:p>
      <w:pPr>
        <w:spacing w:before="120"/>
        <w:ind w:firstLine="480"/>
      </w:pPr>
      <w:r>
        <w:t>（</w:t>
      </w:r>
      <w:r>
        <w:rPr>
          <w:rFonts w:hint="eastAsia"/>
        </w:rPr>
        <w:t>2</w:t>
      </w:r>
      <w:r>
        <w:t>）土壤流失控制比</w:t>
      </w:r>
    </w:p>
    <w:p>
      <w:pPr>
        <w:spacing w:before="120"/>
        <w:ind w:firstLine="480"/>
      </w:pPr>
      <w:r>
        <w:t>本工程土壤容许流失量为500t/km</w:t>
      </w:r>
      <w:r>
        <w:rPr>
          <w:vertAlign w:val="superscript"/>
        </w:rPr>
        <w:t>2</w:t>
      </w:r>
      <w:r>
        <w:t>.a。工程在扰动期间土壤侵蚀量比较大，本项目自投入运行以来，运行正常，施工扰动区域大面积被建筑物、道路硬化、工程设施、植被所覆盖，水土流失已得到有效控制，经分析，本工程建设区内年均土壤侵蚀模数为</w:t>
      </w:r>
      <w:r>
        <w:rPr>
          <w:rFonts w:hint="eastAsia"/>
          <w:lang w:val="en-US" w:eastAsia="zh-CN"/>
        </w:rPr>
        <w:t>3</w:t>
      </w:r>
      <w:r>
        <w:rPr>
          <w:rFonts w:hint="eastAsia"/>
        </w:rPr>
        <w:t>00</w:t>
      </w:r>
      <w:r>
        <w:t>t/km².a，土壤流失控制比为1</w:t>
      </w:r>
      <w:r>
        <w:rPr>
          <w:rFonts w:hint="eastAsia"/>
          <w:lang w:val="en-US" w:eastAsia="zh-CN"/>
        </w:rPr>
        <w:t>.67</w:t>
      </w:r>
      <w:r>
        <w:t>，达到验收目标值1.0。</w:t>
      </w:r>
    </w:p>
    <w:p>
      <w:pPr>
        <w:pStyle w:val="58"/>
        <w:spacing w:before="120"/>
        <w:rPr>
          <w:color w:val="auto"/>
        </w:rPr>
      </w:pPr>
      <w:r>
        <w:rPr>
          <w:color w:val="auto"/>
        </w:rPr>
        <w:t>各防治分区水土流失控制比一览表</w:t>
      </w:r>
    </w:p>
    <w:p>
      <w:pPr>
        <w:pStyle w:val="13"/>
        <w:keepNext/>
      </w:pPr>
      <w:r>
        <w:t>表</w:t>
      </w:r>
      <w:r>
        <w:rPr>
          <w:rFonts w:hint="eastAsia"/>
        </w:rPr>
        <w:t>5.2</w:t>
      </w:r>
      <w:r>
        <w:noBreakHyphen/>
      </w:r>
      <w:r>
        <w:rPr>
          <w:rFonts w:hint="eastAsia"/>
        </w:rPr>
        <w:t>3</w:t>
      </w:r>
    </w:p>
    <w:tbl>
      <w:tblPr>
        <w:tblStyle w:val="32"/>
        <w:tblW w:w="832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1" w:type="dxa"/>
          <w:bottom w:w="0" w:type="dxa"/>
          <w:right w:w="11" w:type="dxa"/>
        </w:tblCellMar>
      </w:tblPr>
      <w:tblGrid>
        <w:gridCol w:w="3129"/>
        <w:gridCol w:w="993"/>
        <w:gridCol w:w="1421"/>
        <w:gridCol w:w="1737"/>
        <w:gridCol w:w="10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3129"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分区名称</w:t>
            </w:r>
          </w:p>
        </w:tc>
        <w:tc>
          <w:tcPr>
            <w:tcW w:w="99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占地面积</w:t>
            </w:r>
          </w:p>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(hm</w:t>
            </w:r>
            <w:r>
              <w:rPr>
                <w:rFonts w:cs="Times New Roman"/>
                <w:color w:val="auto"/>
                <w:sz w:val="18"/>
                <w:vertAlign w:val="superscript"/>
              </w:rPr>
              <w:t>2</w:t>
            </w:r>
            <w:r>
              <w:rPr>
                <w:rFonts w:cs="Times New Roman"/>
                <w:color w:val="auto"/>
                <w:sz w:val="18"/>
              </w:rPr>
              <w:t>)</w:t>
            </w:r>
          </w:p>
        </w:tc>
        <w:tc>
          <w:tcPr>
            <w:tcW w:w="142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现状土壤侵蚀</w:t>
            </w:r>
          </w:p>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（t/km²·a）</w:t>
            </w:r>
          </w:p>
        </w:tc>
        <w:tc>
          <w:tcPr>
            <w:tcW w:w="1737"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允许土壤侵蚀模数</w:t>
            </w:r>
          </w:p>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（t/km²·a）</w:t>
            </w:r>
          </w:p>
        </w:tc>
        <w:tc>
          <w:tcPr>
            <w:tcW w:w="104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水土流失</w:t>
            </w:r>
          </w:p>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控制比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3129"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eastAsia="仿宋_GB2312" w:cs="Times New Roman"/>
                <w:color w:val="auto"/>
                <w:sz w:val="18"/>
                <w:lang w:eastAsia="zh-CN"/>
              </w:rPr>
            </w:pPr>
            <w:r>
              <w:rPr>
                <w:rFonts w:hint="eastAsia" w:ascii="仿宋_GB2312" w:hAnsi="仿宋_GB2312" w:eastAsia="仿宋_GB2312" w:cs="仿宋_GB2312"/>
                <w:color w:val="auto"/>
                <w:sz w:val="18"/>
                <w:lang w:val="en-US" w:eastAsia="zh-CN"/>
              </w:rPr>
              <w:t>变电站及进站道路用地区</w:t>
            </w:r>
          </w:p>
        </w:tc>
        <w:tc>
          <w:tcPr>
            <w:tcW w:w="99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cs="Times New Roman"/>
                <w:color w:val="auto"/>
                <w:sz w:val="18"/>
                <w:lang w:val="en-US"/>
              </w:rPr>
            </w:pPr>
            <w:r>
              <w:rPr>
                <w:rFonts w:hint="eastAsia" w:eastAsia="宋体" w:cs="Times New Roman"/>
                <w:color w:val="auto"/>
                <w:sz w:val="18"/>
                <w:lang w:val="en-US" w:eastAsia="zh-CN"/>
              </w:rPr>
              <w:t>0.20</w:t>
            </w:r>
          </w:p>
        </w:tc>
        <w:tc>
          <w:tcPr>
            <w:tcW w:w="142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lang w:val="en-US" w:eastAsia="zh-CN"/>
              </w:rPr>
              <w:t>300</w:t>
            </w:r>
            <w:r>
              <w:rPr>
                <w:rFonts w:cs="Times New Roman"/>
                <w:color w:val="auto"/>
                <w:sz w:val="18"/>
              </w:rPr>
              <w:t xml:space="preserve"> </w:t>
            </w:r>
          </w:p>
        </w:tc>
        <w:tc>
          <w:tcPr>
            <w:tcW w:w="1737"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500</w:t>
            </w:r>
          </w:p>
        </w:tc>
        <w:tc>
          <w:tcPr>
            <w:tcW w:w="104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lang w:val="en-US" w:eastAsia="zh-CN"/>
              </w:rPr>
              <w:t>1.67</w:t>
            </w:r>
            <w:r>
              <w:rPr>
                <w:rFonts w:cs="Times New Roman"/>
                <w:color w:val="auto"/>
                <w:sz w:val="18"/>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3129"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hint="eastAsia" w:ascii="仿宋_GB2312" w:hAnsi="仿宋_GB2312" w:eastAsia="仿宋_GB2312" w:cs="仿宋_GB2312"/>
                <w:color w:val="auto"/>
                <w:sz w:val="18"/>
                <w:lang w:val="en-US" w:eastAsia="zh-CN"/>
              </w:rPr>
              <w:t>电缆沟用地区</w:t>
            </w:r>
          </w:p>
        </w:tc>
        <w:tc>
          <w:tcPr>
            <w:tcW w:w="99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cs="Times New Roman"/>
                <w:color w:val="auto"/>
                <w:sz w:val="18"/>
                <w:lang w:val="en-US"/>
              </w:rPr>
            </w:pPr>
            <w:r>
              <w:rPr>
                <w:rFonts w:hint="eastAsia" w:eastAsia="宋体" w:cs="Times New Roman"/>
                <w:color w:val="auto"/>
                <w:sz w:val="18"/>
                <w:lang w:val="en-US" w:eastAsia="zh-CN"/>
              </w:rPr>
              <w:t>0.05</w:t>
            </w:r>
          </w:p>
        </w:tc>
        <w:tc>
          <w:tcPr>
            <w:tcW w:w="142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lang w:val="en-US" w:eastAsia="zh-CN"/>
              </w:rPr>
              <w:t>300</w:t>
            </w:r>
            <w:r>
              <w:rPr>
                <w:rFonts w:cs="Times New Roman"/>
                <w:color w:val="auto"/>
                <w:sz w:val="18"/>
              </w:rPr>
              <w:t xml:space="preserve"> </w:t>
            </w:r>
          </w:p>
        </w:tc>
        <w:tc>
          <w:tcPr>
            <w:tcW w:w="1737"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500</w:t>
            </w:r>
          </w:p>
        </w:tc>
        <w:tc>
          <w:tcPr>
            <w:tcW w:w="104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s="Times New Roman"/>
                <w:color w:val="auto"/>
                <w:sz w:val="18"/>
                <w:lang w:val="en-US" w:eastAsia="zh-CN"/>
              </w:rPr>
            </w:pPr>
            <w:r>
              <w:rPr>
                <w:rFonts w:hint="eastAsia" w:cs="Times New Roman"/>
                <w:color w:val="auto"/>
                <w:sz w:val="18"/>
                <w:lang w:val="en-US" w:eastAsia="zh-CN"/>
              </w:rPr>
              <w:t>1.67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1" w:type="dxa"/>
            <w:bottom w:w="0" w:type="dxa"/>
            <w:right w:w="11" w:type="dxa"/>
          </w:tblCellMar>
        </w:tblPrEx>
        <w:trPr>
          <w:trHeight w:val="340" w:hRule="atLeast"/>
        </w:trPr>
        <w:tc>
          <w:tcPr>
            <w:tcW w:w="3129"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合计</w:t>
            </w:r>
          </w:p>
        </w:tc>
        <w:tc>
          <w:tcPr>
            <w:tcW w:w="99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cs="Times New Roman"/>
                <w:color w:val="auto"/>
                <w:sz w:val="18"/>
                <w:lang w:val="en-US"/>
              </w:rPr>
            </w:pPr>
            <w:r>
              <w:rPr>
                <w:rFonts w:hint="eastAsia" w:eastAsia="宋体" w:cs="Times New Roman"/>
                <w:color w:val="auto"/>
                <w:sz w:val="18"/>
                <w:lang w:val="en-US" w:eastAsia="zh-CN"/>
              </w:rPr>
              <w:t>0.25</w:t>
            </w:r>
          </w:p>
        </w:tc>
        <w:tc>
          <w:tcPr>
            <w:tcW w:w="1421"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lang w:val="en-US" w:eastAsia="zh-CN"/>
              </w:rPr>
              <w:t>300</w:t>
            </w:r>
            <w:r>
              <w:rPr>
                <w:rFonts w:cs="Times New Roman"/>
                <w:color w:val="auto"/>
                <w:sz w:val="18"/>
              </w:rPr>
              <w:t xml:space="preserve"> </w:t>
            </w:r>
          </w:p>
        </w:tc>
        <w:tc>
          <w:tcPr>
            <w:tcW w:w="1737"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500</w:t>
            </w:r>
          </w:p>
        </w:tc>
        <w:tc>
          <w:tcPr>
            <w:tcW w:w="1048"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s="Times New Roman"/>
                <w:color w:val="auto"/>
                <w:sz w:val="18"/>
                <w:lang w:val="en-US" w:eastAsia="zh-CN"/>
              </w:rPr>
            </w:pPr>
            <w:r>
              <w:rPr>
                <w:rFonts w:hint="eastAsia" w:cs="Times New Roman"/>
                <w:color w:val="auto"/>
                <w:sz w:val="18"/>
                <w:lang w:val="en-US" w:eastAsia="zh-CN"/>
              </w:rPr>
              <w:t>1.67</w:t>
            </w:r>
          </w:p>
        </w:tc>
      </w:tr>
    </w:tbl>
    <w:p>
      <w:pPr>
        <w:spacing w:before="120"/>
        <w:ind w:firstLine="480"/>
      </w:pPr>
      <w:r>
        <w:t>（</w:t>
      </w:r>
      <w:r>
        <w:rPr>
          <w:rFonts w:hint="eastAsia"/>
        </w:rPr>
        <w:t>3</w:t>
      </w:r>
      <w:r>
        <w:t>）</w:t>
      </w:r>
      <w:r>
        <w:rPr>
          <w:rFonts w:hint="eastAsia"/>
        </w:rPr>
        <w:t>渣土防护</w:t>
      </w:r>
      <w:r>
        <w:t>率</w:t>
      </w:r>
    </w:p>
    <w:p>
      <w:pPr>
        <w:spacing w:before="120"/>
        <w:ind w:firstLine="480"/>
      </w:pPr>
      <w:r>
        <w:rPr>
          <w:rFonts w:hint="eastAsia"/>
        </w:rPr>
        <w:t>渣土防护率是指项目水土流失防治责任范围内采取措施实际挡护的永久弃渣、临时堆土数量占永久弃渣和临时堆土总量的百分比。</w:t>
      </w:r>
      <w:r>
        <w:t>根据查阅</w:t>
      </w:r>
      <w:r>
        <w:rPr>
          <w:rFonts w:hint="eastAsia"/>
          <w:lang w:eastAsia="zh-CN"/>
        </w:rPr>
        <w:t>完工</w:t>
      </w:r>
      <w:r>
        <w:t>验收等相关资料获知，本工程在建设期间拦渣率可达到9</w:t>
      </w:r>
      <w:r>
        <w:rPr>
          <w:rFonts w:hint="eastAsia"/>
          <w:lang w:val="en-US" w:eastAsia="zh-CN"/>
        </w:rPr>
        <w:t>7.5</w:t>
      </w:r>
      <w:r>
        <w:t>%，达到验收目标值</w:t>
      </w:r>
      <w:r>
        <w:rPr>
          <w:rFonts w:hint="eastAsia"/>
        </w:rPr>
        <w:t>8</w:t>
      </w:r>
      <w:r>
        <w:rPr>
          <w:rFonts w:hint="eastAsia"/>
          <w:lang w:val="en-US" w:eastAsia="zh-CN"/>
        </w:rPr>
        <w:t>7</w:t>
      </w:r>
      <w:r>
        <w:t>%。</w:t>
      </w:r>
    </w:p>
    <w:p>
      <w:pPr>
        <w:spacing w:before="120"/>
        <w:ind w:firstLine="480"/>
      </w:pPr>
      <w:r>
        <w:rPr>
          <w:rFonts w:hint="eastAsia"/>
        </w:rPr>
        <w:t>（4）表土保护率</w:t>
      </w:r>
    </w:p>
    <w:p>
      <w:pPr>
        <w:spacing w:before="120"/>
        <w:ind w:firstLine="480"/>
      </w:pPr>
      <w:r>
        <w:rPr>
          <w:rFonts w:hint="eastAsia"/>
        </w:rPr>
        <w:t>表土保护率是指项目水土流失防治责任范围内保护的表土数量占可剥离表土总量的百分比。</w:t>
      </w:r>
      <w:r>
        <w:t>根据查阅</w:t>
      </w:r>
      <w:r>
        <w:rPr>
          <w:rFonts w:hint="eastAsia"/>
          <w:lang w:eastAsia="zh-CN"/>
        </w:rPr>
        <w:t>完工</w:t>
      </w:r>
      <w:r>
        <w:t>验收等相关资料</w:t>
      </w:r>
      <w:r>
        <w:rPr>
          <w:rFonts w:hint="eastAsia"/>
        </w:rPr>
        <w:t>并结合现场调查可</w:t>
      </w:r>
      <w:r>
        <w:t>知</w:t>
      </w:r>
      <w:r>
        <w:rPr>
          <w:rFonts w:hint="eastAsia"/>
        </w:rPr>
        <w:t>，</w:t>
      </w:r>
      <w:r>
        <w:rPr>
          <w:rFonts w:hint="eastAsia"/>
          <w:lang w:val="en-US" w:eastAsia="zh-CN"/>
        </w:rPr>
        <w:t>本项目用地为原变电站存量土地，用地范围内表层土为素填土，混板岩碎石及角砾，由已建新都桥500kV变电站场平回填造成，无表土可剥离，故本方案不将表土保护率作为本项目水土流失防治目标</w:t>
      </w:r>
      <w:r>
        <w:t>。</w:t>
      </w:r>
    </w:p>
    <w:p>
      <w:pPr>
        <w:pStyle w:val="4"/>
        <w:numPr>
          <w:ilvl w:val="2"/>
          <w:numId w:val="0"/>
        </w:numPr>
        <w:spacing w:before="120"/>
      </w:pPr>
      <w:bookmarkStart w:id="160" w:name="_Toc24638"/>
      <w:bookmarkStart w:id="161" w:name="_Toc13154"/>
      <w:bookmarkStart w:id="162" w:name="_Toc515873350"/>
      <w:bookmarkStart w:id="163" w:name="_Toc7768"/>
      <w:bookmarkStart w:id="164" w:name="_Toc489977050"/>
      <w:bookmarkStart w:id="165" w:name="_Toc484280832"/>
      <w:bookmarkStart w:id="166" w:name="_Toc496268094"/>
      <w:r>
        <w:rPr>
          <w:rFonts w:hint="eastAsia"/>
        </w:rPr>
        <w:t xml:space="preserve">5.2.3  </w:t>
      </w:r>
      <w:r>
        <w:t>生态环境和土地生产力恢复</w:t>
      </w:r>
      <w:bookmarkEnd w:id="160"/>
      <w:bookmarkEnd w:id="161"/>
      <w:bookmarkEnd w:id="162"/>
      <w:bookmarkEnd w:id="163"/>
      <w:bookmarkEnd w:id="164"/>
      <w:bookmarkEnd w:id="165"/>
      <w:bookmarkEnd w:id="166"/>
    </w:p>
    <w:p>
      <w:pPr>
        <w:widowControl w:val="0"/>
        <w:numPr>
          <w:ilvl w:val="0"/>
          <w:numId w:val="3"/>
        </w:numPr>
        <w:adjustRightInd/>
        <w:snapToGrid/>
        <w:spacing w:before="120"/>
        <w:ind w:firstLine="480"/>
      </w:pPr>
      <w:r>
        <w:t>林草植被恢复率</w:t>
      </w:r>
    </w:p>
    <w:p>
      <w:pPr>
        <w:spacing w:beforeLines="0"/>
        <w:ind w:firstLine="480"/>
        <w:rPr>
          <w:szCs w:val="28"/>
        </w:rPr>
      </w:pPr>
      <w:r>
        <w:rPr>
          <w:szCs w:val="28"/>
        </w:rPr>
        <w:t>林草植被恢复率指项目</w:t>
      </w:r>
      <w:r>
        <w:rPr>
          <w:rFonts w:hint="eastAsia"/>
          <w:szCs w:val="28"/>
        </w:rPr>
        <w:t>水土流失防治责任范围</w:t>
      </w:r>
      <w:r>
        <w:rPr>
          <w:szCs w:val="28"/>
        </w:rPr>
        <w:t>内，林草类植被面积占可恢复林草植被（在目前经济、技术条件下适宜于恢复林草植被）面积的百分比，可恢复植被面积是指可以采取植物措施的面积。</w:t>
      </w:r>
    </w:p>
    <w:p>
      <w:pPr>
        <w:spacing w:beforeLines="0"/>
        <w:ind w:firstLine="480"/>
      </w:pPr>
      <w:r>
        <w:t>该工程水土保持方案实施后，实测项目区域实际可恢复植被面积为</w:t>
      </w:r>
      <w:r>
        <w:rPr>
          <w:rFonts w:hint="eastAsia"/>
          <w:lang w:val="en-US" w:eastAsia="zh-CN"/>
        </w:rPr>
        <w:t>0.031</w:t>
      </w:r>
      <w:r>
        <w:t>hm</w:t>
      </w:r>
      <w:r>
        <w:rPr>
          <w:vertAlign w:val="superscript"/>
        </w:rPr>
        <w:t>2</w:t>
      </w:r>
      <w:r>
        <w:t>，植物措施面积为</w:t>
      </w:r>
      <w:r>
        <w:rPr>
          <w:rFonts w:hint="eastAsia"/>
          <w:lang w:val="en-US" w:eastAsia="zh-CN"/>
        </w:rPr>
        <w:t>0.03</w:t>
      </w:r>
      <w:r>
        <w:t>hm</w:t>
      </w:r>
      <w:r>
        <w:rPr>
          <w:vertAlign w:val="superscript"/>
        </w:rPr>
        <w:t>2</w:t>
      </w:r>
      <w:r>
        <w:t>。大部分植被恢复良好，林草植被恢复率达9</w:t>
      </w:r>
      <w:r>
        <w:rPr>
          <w:rFonts w:hint="eastAsia"/>
          <w:lang w:val="en-US" w:eastAsia="zh-CN"/>
        </w:rPr>
        <w:t>6.8</w:t>
      </w:r>
      <w:r>
        <w:t>%，达到验收目标值9</w:t>
      </w:r>
      <w:r>
        <w:rPr>
          <w:rFonts w:hint="eastAsia"/>
          <w:lang w:val="en-US" w:eastAsia="zh-CN"/>
        </w:rPr>
        <w:t>5</w:t>
      </w:r>
      <w:r>
        <w:t>%。林草被恢复率计算见下表。</w:t>
      </w:r>
    </w:p>
    <w:p>
      <w:pPr>
        <w:pStyle w:val="58"/>
        <w:spacing w:before="120"/>
        <w:rPr>
          <w:color w:val="auto"/>
        </w:rPr>
      </w:pPr>
      <w:r>
        <w:rPr>
          <w:color w:val="auto"/>
        </w:rPr>
        <w:t>各防治分区林草植被恢复率一览表</w:t>
      </w:r>
    </w:p>
    <w:p>
      <w:pPr>
        <w:pStyle w:val="13"/>
        <w:keepNext/>
      </w:pPr>
      <w:r>
        <w:t>表</w:t>
      </w:r>
      <w:r>
        <w:rPr>
          <w:rFonts w:hint="eastAsia"/>
        </w:rPr>
        <w:t>5.2</w:t>
      </w:r>
      <w:r>
        <w:noBreakHyphen/>
      </w:r>
      <w:r>
        <w:rPr>
          <w:rFonts w:hint="eastAsia"/>
        </w:rPr>
        <w:t>4</w:t>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2297"/>
        <w:gridCol w:w="706"/>
        <w:gridCol w:w="1161"/>
        <w:gridCol w:w="1387"/>
        <w:gridCol w:w="1161"/>
        <w:gridCol w:w="1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297" w:type="dxa"/>
            <w:vMerge w:val="restart"/>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项目分区</w:t>
            </w:r>
          </w:p>
        </w:tc>
        <w:tc>
          <w:tcPr>
            <w:tcW w:w="706"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总面积</w:t>
            </w:r>
          </w:p>
        </w:tc>
        <w:tc>
          <w:tcPr>
            <w:tcW w:w="1161"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可绿化面积</w:t>
            </w:r>
          </w:p>
        </w:tc>
        <w:tc>
          <w:tcPr>
            <w:tcW w:w="1387"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植物措施面积</w:t>
            </w:r>
          </w:p>
        </w:tc>
        <w:tc>
          <w:tcPr>
            <w:tcW w:w="1161"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未绿化面积</w:t>
            </w:r>
          </w:p>
        </w:tc>
        <w:tc>
          <w:tcPr>
            <w:tcW w:w="1616"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林草植被恢复率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297" w:type="dxa"/>
            <w:vMerge w:val="continue"/>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4415" w:type="dxa"/>
            <w:gridSpan w:val="4"/>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单位：hm</w:t>
            </w:r>
            <w:r>
              <w:rPr>
                <w:rFonts w:cs="Times New Roman"/>
                <w:color w:val="auto"/>
                <w:sz w:val="18"/>
                <w:vertAlign w:val="superscript"/>
              </w:rPr>
              <w:t>2</w:t>
            </w:r>
          </w:p>
        </w:tc>
        <w:tc>
          <w:tcPr>
            <w:tcW w:w="1616"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297"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eastAsia="仿宋_GB2312"/>
                <w:color w:val="auto"/>
                <w:sz w:val="18"/>
                <w:lang w:eastAsia="zh-CN"/>
              </w:rPr>
            </w:pPr>
            <w:r>
              <w:rPr>
                <w:rFonts w:hint="eastAsia" w:ascii="仿宋_GB2312" w:hAnsi="仿宋_GB2312" w:eastAsia="仿宋_GB2312" w:cs="仿宋_GB2312"/>
                <w:color w:val="auto"/>
                <w:sz w:val="18"/>
                <w:lang w:val="en-US" w:eastAsia="zh-CN"/>
              </w:rPr>
              <w:t>变电站及进站道路用地区</w:t>
            </w:r>
          </w:p>
        </w:tc>
        <w:tc>
          <w:tcPr>
            <w:tcW w:w="70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hAnsi="宋体" w:eastAsia="仿宋_GB2312" w:cs="宋体"/>
                <w:color w:val="auto"/>
                <w:sz w:val="18"/>
                <w:lang w:val="en-US" w:eastAsia="zh-CN"/>
              </w:rPr>
            </w:pPr>
            <w:r>
              <w:rPr>
                <w:rFonts w:hint="eastAsia" w:hAnsi="宋体" w:cs="宋体"/>
                <w:color w:val="auto"/>
                <w:sz w:val="18"/>
                <w:lang w:val="en-US" w:eastAsia="zh-CN"/>
              </w:rPr>
              <w:t>0.20</w:t>
            </w:r>
          </w:p>
        </w:tc>
        <w:tc>
          <w:tcPr>
            <w:tcW w:w="1161"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hAnsi="宋体" w:eastAsia="仿宋_GB2312" w:cs="宋体"/>
                <w:color w:val="auto"/>
                <w:sz w:val="18"/>
                <w:lang w:val="en-US" w:eastAsia="zh-CN"/>
              </w:rPr>
            </w:pPr>
            <w:r>
              <w:rPr>
                <w:rFonts w:hint="eastAsia" w:hAnsi="宋体" w:cs="宋体"/>
                <w:color w:val="auto"/>
                <w:sz w:val="18"/>
                <w:lang w:val="en-US" w:eastAsia="zh-CN"/>
              </w:rPr>
              <w:t>0.031</w:t>
            </w:r>
          </w:p>
        </w:tc>
        <w:tc>
          <w:tcPr>
            <w:tcW w:w="1387" w:type="dxa"/>
            <w:shd w:val="clear" w:color="auto" w:fill="auto"/>
            <w:vAlign w:val="center"/>
          </w:tcPr>
          <w:p>
            <w:pPr>
              <w:pStyle w:val="53"/>
              <w:keepNext w:val="0"/>
              <w:keepLines w:val="0"/>
              <w:widowControl/>
              <w:suppressLineNumbers w:val="0"/>
              <w:spacing w:before="0" w:beforeAutospacing="0" w:after="0" w:afterAutospacing="0"/>
              <w:ind w:left="0" w:right="0"/>
              <w:rPr>
                <w:rFonts w:hAnsi="宋体" w:cs="宋体"/>
                <w:color w:val="auto"/>
                <w:sz w:val="18"/>
              </w:rPr>
            </w:pPr>
            <w:r>
              <w:rPr>
                <w:rFonts w:hint="eastAsia"/>
                <w:color w:val="auto"/>
                <w:sz w:val="18"/>
                <w:lang w:val="en-US" w:eastAsia="zh-CN"/>
              </w:rPr>
              <w:t>0.03</w:t>
            </w:r>
            <w:r>
              <w:rPr>
                <w:rFonts w:hint="eastAsia"/>
                <w:color w:val="auto"/>
                <w:sz w:val="18"/>
              </w:rPr>
              <w:t>　</w:t>
            </w:r>
          </w:p>
        </w:tc>
        <w:tc>
          <w:tcPr>
            <w:tcW w:w="1161" w:type="dxa"/>
            <w:shd w:val="clear" w:color="auto" w:fill="auto"/>
            <w:vAlign w:val="center"/>
          </w:tcPr>
          <w:p>
            <w:pPr>
              <w:pStyle w:val="53"/>
              <w:keepNext w:val="0"/>
              <w:keepLines w:val="0"/>
              <w:widowControl/>
              <w:suppressLineNumbers w:val="0"/>
              <w:spacing w:before="0" w:beforeAutospacing="0" w:after="0" w:afterAutospacing="0"/>
              <w:ind w:left="0" w:right="0"/>
              <w:rPr>
                <w:rFonts w:hAnsi="宋体" w:cs="宋体"/>
                <w:color w:val="auto"/>
                <w:sz w:val="18"/>
              </w:rPr>
            </w:pPr>
            <w:r>
              <w:rPr>
                <w:rFonts w:hint="eastAsia"/>
                <w:color w:val="auto"/>
                <w:sz w:val="18"/>
                <w:lang w:val="en-US" w:eastAsia="zh-CN"/>
              </w:rPr>
              <w:t>0.001</w:t>
            </w:r>
            <w:r>
              <w:rPr>
                <w:rFonts w:hint="eastAsia"/>
                <w:color w:val="auto"/>
                <w:sz w:val="18"/>
              </w:rPr>
              <w:t>　</w:t>
            </w:r>
          </w:p>
        </w:tc>
        <w:tc>
          <w:tcPr>
            <w:tcW w:w="1616" w:type="dxa"/>
            <w:shd w:val="clear" w:color="auto" w:fill="auto"/>
            <w:vAlign w:val="center"/>
          </w:tcPr>
          <w:p>
            <w:pPr>
              <w:pStyle w:val="53"/>
              <w:keepNext w:val="0"/>
              <w:keepLines w:val="0"/>
              <w:widowControl/>
              <w:suppressLineNumbers w:val="0"/>
              <w:spacing w:before="0" w:beforeAutospacing="0" w:after="0" w:afterAutospacing="0"/>
              <w:ind w:left="0" w:right="0"/>
              <w:rPr>
                <w:rFonts w:eastAsia="宋体" w:cs="Times New Roman"/>
                <w:color w:val="auto"/>
                <w:sz w:val="18"/>
              </w:rPr>
            </w:pPr>
            <w:r>
              <w:rPr>
                <w:rFonts w:hint="eastAsia" w:cs="Times New Roman"/>
                <w:color w:val="auto"/>
                <w:sz w:val="18"/>
                <w:lang w:val="en-US" w:eastAsia="zh-CN"/>
              </w:rPr>
              <w:t>96.8</w:t>
            </w:r>
            <w:r>
              <w:rPr>
                <w:rFonts w:cs="Times New Roman"/>
                <w:color w:val="auto"/>
                <w:sz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297"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Ansi="宋体" w:cs="宋体"/>
                <w:color w:val="auto"/>
                <w:sz w:val="18"/>
              </w:rPr>
            </w:pPr>
            <w:r>
              <w:rPr>
                <w:rFonts w:hint="eastAsia" w:ascii="仿宋_GB2312" w:hAnsi="仿宋_GB2312" w:eastAsia="仿宋_GB2312" w:cs="仿宋_GB2312"/>
                <w:color w:val="auto"/>
                <w:sz w:val="18"/>
                <w:lang w:val="en-US" w:eastAsia="zh-CN"/>
              </w:rPr>
              <w:t>电缆沟用地区</w:t>
            </w:r>
          </w:p>
        </w:tc>
        <w:tc>
          <w:tcPr>
            <w:tcW w:w="70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hAnsi="宋体" w:eastAsia="仿宋_GB2312" w:cs="宋体"/>
                <w:color w:val="auto"/>
                <w:sz w:val="18"/>
                <w:lang w:val="en-US" w:eastAsia="zh-CN"/>
              </w:rPr>
            </w:pPr>
            <w:r>
              <w:rPr>
                <w:rFonts w:hint="eastAsia" w:hAnsi="宋体" w:cs="宋体"/>
                <w:color w:val="auto"/>
                <w:sz w:val="18"/>
                <w:lang w:val="en-US" w:eastAsia="zh-CN"/>
              </w:rPr>
              <w:t>0.05</w:t>
            </w:r>
          </w:p>
        </w:tc>
        <w:tc>
          <w:tcPr>
            <w:tcW w:w="1161"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hAnsi="宋体" w:eastAsia="仿宋_GB2312" w:cs="宋体"/>
                <w:color w:val="auto"/>
                <w:sz w:val="18"/>
                <w:lang w:val="en-US" w:eastAsia="zh-CN"/>
              </w:rPr>
            </w:pPr>
            <w:r>
              <w:rPr>
                <w:rFonts w:hint="eastAsia" w:hAnsi="宋体" w:cs="宋体"/>
                <w:color w:val="auto"/>
                <w:sz w:val="18"/>
                <w:lang w:val="en-US" w:eastAsia="zh-CN"/>
              </w:rPr>
              <w:t>0</w:t>
            </w:r>
          </w:p>
        </w:tc>
        <w:tc>
          <w:tcPr>
            <w:tcW w:w="1387"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hAnsi="宋体" w:eastAsia="仿宋_GB2312" w:cs="宋体"/>
                <w:color w:val="auto"/>
                <w:sz w:val="18"/>
                <w:lang w:val="en-US" w:eastAsia="zh-CN"/>
              </w:rPr>
            </w:pPr>
            <w:r>
              <w:rPr>
                <w:rFonts w:hint="eastAsia" w:hAnsi="宋体" w:cs="宋体"/>
                <w:color w:val="auto"/>
                <w:sz w:val="18"/>
                <w:lang w:val="en-US" w:eastAsia="zh-CN"/>
              </w:rPr>
              <w:t>0</w:t>
            </w:r>
          </w:p>
        </w:tc>
        <w:tc>
          <w:tcPr>
            <w:tcW w:w="1161"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hAnsi="宋体" w:eastAsia="仿宋_GB2312" w:cs="宋体"/>
                <w:color w:val="auto"/>
                <w:sz w:val="18"/>
                <w:lang w:val="en-US" w:eastAsia="zh-CN"/>
              </w:rPr>
            </w:pPr>
            <w:r>
              <w:rPr>
                <w:rFonts w:hint="eastAsia" w:hAnsi="宋体" w:cs="宋体"/>
                <w:color w:val="auto"/>
                <w:sz w:val="18"/>
                <w:lang w:val="en-US" w:eastAsia="zh-CN"/>
              </w:rPr>
              <w:t>0</w:t>
            </w:r>
          </w:p>
        </w:tc>
        <w:tc>
          <w:tcPr>
            <w:tcW w:w="1616" w:type="dxa"/>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宋体" w:cs="Times New Roman"/>
                <w:color w:val="auto"/>
                <w:sz w:val="18"/>
                <w:lang w:eastAsia="zh-CN"/>
              </w:rPr>
            </w:pPr>
            <w:r>
              <w:rPr>
                <w:rFonts w:hint="eastAsia" w:eastAsia="宋体" w:cs="Times New Roman"/>
                <w:color w:val="aut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297" w:type="dxa"/>
            <w:shd w:val="clear" w:color="auto" w:fill="auto"/>
            <w:vAlign w:val="center"/>
          </w:tcPr>
          <w:p>
            <w:pPr>
              <w:pStyle w:val="53"/>
              <w:keepNext w:val="0"/>
              <w:keepLines w:val="0"/>
              <w:widowControl/>
              <w:suppressLineNumbers w:val="0"/>
              <w:spacing w:before="0" w:beforeAutospacing="0" w:after="0" w:afterAutospacing="0"/>
              <w:ind w:left="0" w:right="0"/>
              <w:rPr>
                <w:rFonts w:hAnsi="宋体" w:cs="宋体"/>
                <w:color w:val="auto"/>
                <w:sz w:val="18"/>
              </w:rPr>
            </w:pPr>
            <w:r>
              <w:rPr>
                <w:rFonts w:hint="eastAsia"/>
                <w:color w:val="auto"/>
                <w:sz w:val="18"/>
              </w:rPr>
              <w:t>合计</w:t>
            </w:r>
          </w:p>
        </w:tc>
        <w:tc>
          <w:tcPr>
            <w:tcW w:w="70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default" w:eastAsia="宋体" w:cs="Times New Roman"/>
                <w:color w:val="auto"/>
                <w:sz w:val="18"/>
                <w:lang w:val="en-US" w:eastAsia="zh-CN"/>
              </w:rPr>
            </w:pPr>
            <w:r>
              <w:rPr>
                <w:rFonts w:hint="eastAsia" w:eastAsia="宋体" w:cs="Times New Roman"/>
                <w:color w:val="auto"/>
                <w:sz w:val="18"/>
                <w:lang w:val="en-US" w:eastAsia="zh-CN"/>
              </w:rPr>
              <w:t>0.25</w:t>
            </w:r>
          </w:p>
        </w:tc>
        <w:tc>
          <w:tcPr>
            <w:tcW w:w="1161"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s="Times New Roman"/>
                <w:color w:val="auto"/>
                <w:sz w:val="18"/>
                <w:lang w:val="en-US" w:eastAsia="zh-CN"/>
              </w:rPr>
            </w:pPr>
            <w:r>
              <w:rPr>
                <w:rFonts w:hint="eastAsia" w:eastAsia="宋体" w:cs="Times New Roman"/>
                <w:color w:val="auto"/>
                <w:sz w:val="18"/>
                <w:lang w:val="en-US" w:eastAsia="zh-CN"/>
              </w:rPr>
              <w:t>0.031</w:t>
            </w:r>
          </w:p>
        </w:tc>
        <w:tc>
          <w:tcPr>
            <w:tcW w:w="1387"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hAnsi="宋体" w:eastAsia="仿宋_GB2312" w:cs="宋体"/>
                <w:color w:val="auto"/>
                <w:sz w:val="18"/>
                <w:lang w:val="en-US" w:eastAsia="zh-CN"/>
              </w:rPr>
            </w:pPr>
            <w:r>
              <w:rPr>
                <w:rFonts w:hint="eastAsia"/>
                <w:color w:val="auto"/>
                <w:sz w:val="18"/>
                <w:lang w:val="en-US" w:eastAsia="zh-CN"/>
              </w:rPr>
              <w:t>0.03</w:t>
            </w:r>
          </w:p>
        </w:tc>
        <w:tc>
          <w:tcPr>
            <w:tcW w:w="1161"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hAnsi="宋体" w:cs="宋体"/>
                <w:color w:val="auto"/>
                <w:sz w:val="18"/>
                <w:lang w:val="en-US"/>
              </w:rPr>
            </w:pPr>
            <w:r>
              <w:rPr>
                <w:rFonts w:hint="eastAsia"/>
                <w:color w:val="auto"/>
                <w:sz w:val="18"/>
              </w:rPr>
              <w:t>0.0</w:t>
            </w:r>
            <w:r>
              <w:rPr>
                <w:rFonts w:hint="eastAsia"/>
                <w:color w:val="auto"/>
                <w:sz w:val="18"/>
                <w:lang w:val="en-US" w:eastAsia="zh-CN"/>
              </w:rPr>
              <w:t>01</w:t>
            </w:r>
          </w:p>
        </w:tc>
        <w:tc>
          <w:tcPr>
            <w:tcW w:w="1616"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s="Times New Roman"/>
                <w:color w:val="auto"/>
                <w:sz w:val="18"/>
                <w:lang w:val="en-US" w:eastAsia="zh-CN"/>
              </w:rPr>
            </w:pPr>
            <w:r>
              <w:rPr>
                <w:rFonts w:hint="eastAsia" w:eastAsia="宋体" w:cs="Times New Roman"/>
                <w:color w:val="auto"/>
                <w:sz w:val="18"/>
                <w:lang w:val="en-US" w:eastAsia="zh-CN"/>
              </w:rPr>
              <w:t>96.8</w:t>
            </w:r>
          </w:p>
        </w:tc>
      </w:tr>
    </w:tbl>
    <w:p>
      <w:pPr>
        <w:spacing w:before="120"/>
        <w:ind w:firstLine="480"/>
      </w:pPr>
      <w:r>
        <w:t>（2）林草覆盖率</w:t>
      </w:r>
    </w:p>
    <w:p>
      <w:pPr>
        <w:spacing w:before="120"/>
        <w:ind w:firstLine="480"/>
      </w:pPr>
      <w:r>
        <w:t>林草覆盖率为项目</w:t>
      </w:r>
      <w:r>
        <w:rPr>
          <w:rFonts w:hint="eastAsia"/>
          <w:szCs w:val="28"/>
        </w:rPr>
        <w:t>水土流失防治责任范围</w:t>
      </w:r>
      <w:r>
        <w:rPr>
          <w:szCs w:val="28"/>
        </w:rPr>
        <w:t>内</w:t>
      </w:r>
      <w:r>
        <w:t>内林草植被面积占</w:t>
      </w:r>
      <w:r>
        <w:rPr>
          <w:rFonts w:hint="eastAsia"/>
        </w:rPr>
        <w:t>总</w:t>
      </w:r>
      <w:r>
        <w:t>面积的百分比。林草类植被面积是指项目建设区内所有人工和天然森林、灌木林和草地的面积。项目建设期验收范围的面积为</w:t>
      </w:r>
      <w:r>
        <w:rPr>
          <w:rFonts w:hint="eastAsia"/>
          <w:lang w:val="en-US" w:eastAsia="zh-CN"/>
        </w:rPr>
        <w:t>0.25</w:t>
      </w:r>
      <w:r>
        <w:t>hm</w:t>
      </w:r>
      <w:r>
        <w:rPr>
          <w:vertAlign w:val="superscript"/>
        </w:rPr>
        <w:t>2</w:t>
      </w:r>
      <w:r>
        <w:t>，林草面积为</w:t>
      </w:r>
      <w:r>
        <w:rPr>
          <w:rFonts w:hint="eastAsia"/>
          <w:lang w:val="en-US" w:eastAsia="zh-CN"/>
        </w:rPr>
        <w:t>0.03</w:t>
      </w:r>
      <w:r>
        <w:t>hm</w:t>
      </w:r>
      <w:r>
        <w:rPr>
          <w:vertAlign w:val="superscript"/>
        </w:rPr>
        <w:t>2</w:t>
      </w:r>
      <w:r>
        <w:t>，林草覆盖率为</w:t>
      </w:r>
      <w:r>
        <w:rPr>
          <w:rFonts w:hint="eastAsia"/>
          <w:lang w:val="en-US" w:eastAsia="zh-CN"/>
        </w:rPr>
        <w:t>12</w:t>
      </w:r>
      <w:r>
        <w:t>%，</w:t>
      </w:r>
      <w:r>
        <w:rPr>
          <w:lang w:val="zh-CN"/>
        </w:rPr>
        <w:t>满足水保方案</w:t>
      </w:r>
      <w:r>
        <w:rPr>
          <w:rFonts w:hint="eastAsia"/>
        </w:rPr>
        <w:t>报告表</w:t>
      </w:r>
      <w:r>
        <w:rPr>
          <w:lang w:val="zh-CN"/>
        </w:rPr>
        <w:t>制定的</w:t>
      </w:r>
      <w:r>
        <w:rPr>
          <w:rFonts w:hint="eastAsia"/>
          <w:lang w:val="en-US" w:eastAsia="zh-CN"/>
        </w:rPr>
        <w:t>9</w:t>
      </w:r>
      <w:r>
        <w:rPr>
          <w:lang w:val="zh-CN"/>
        </w:rPr>
        <w:t>%的目标值</w:t>
      </w:r>
      <w:r>
        <w:t>，林草覆盖率计算详见下表。</w:t>
      </w:r>
    </w:p>
    <w:p>
      <w:pPr>
        <w:pStyle w:val="58"/>
        <w:spacing w:before="120"/>
        <w:rPr>
          <w:color w:val="auto"/>
        </w:rPr>
      </w:pPr>
      <w:r>
        <w:rPr>
          <w:color w:val="auto"/>
        </w:rPr>
        <w:t>各防治分区林草覆盖率一览表</w:t>
      </w:r>
    </w:p>
    <w:p>
      <w:pPr>
        <w:pStyle w:val="13"/>
        <w:keepNext/>
      </w:pPr>
      <w:r>
        <w:t xml:space="preserve">表 </w:t>
      </w:r>
      <w:r>
        <w:rPr>
          <w:rFonts w:hint="eastAsia"/>
        </w:rPr>
        <w:t>5.2</w:t>
      </w:r>
      <w:r>
        <w:noBreakHyphen/>
      </w:r>
      <w:r>
        <w:rPr>
          <w:rFonts w:hint="eastAsia"/>
        </w:rPr>
        <w:t>5</w:t>
      </w:r>
    </w:p>
    <w:tbl>
      <w:tblPr>
        <w:tblStyle w:val="32"/>
        <w:tblW w:w="8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2430"/>
        <w:gridCol w:w="746"/>
        <w:gridCol w:w="1228"/>
        <w:gridCol w:w="1467"/>
        <w:gridCol w:w="1229"/>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430" w:type="dxa"/>
            <w:vMerge w:val="restart"/>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bookmarkStart w:id="167" w:name="_Toc515873351"/>
            <w:r>
              <w:rPr>
                <w:rFonts w:cs="Times New Roman"/>
                <w:color w:val="auto"/>
                <w:sz w:val="18"/>
              </w:rPr>
              <w:t>项目分区</w:t>
            </w:r>
          </w:p>
        </w:tc>
        <w:tc>
          <w:tcPr>
            <w:tcW w:w="746"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总面积</w:t>
            </w:r>
          </w:p>
        </w:tc>
        <w:tc>
          <w:tcPr>
            <w:tcW w:w="1228"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可绿化面积</w:t>
            </w:r>
          </w:p>
        </w:tc>
        <w:tc>
          <w:tcPr>
            <w:tcW w:w="1467"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植物措施面积</w:t>
            </w:r>
          </w:p>
        </w:tc>
        <w:tc>
          <w:tcPr>
            <w:tcW w:w="1229"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未绿化面积</w:t>
            </w:r>
          </w:p>
        </w:tc>
        <w:tc>
          <w:tcPr>
            <w:tcW w:w="1228"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林草覆盖率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430" w:type="dxa"/>
            <w:vMerge w:val="continue"/>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p>
        </w:tc>
        <w:tc>
          <w:tcPr>
            <w:tcW w:w="4670" w:type="dxa"/>
            <w:gridSpan w:val="4"/>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单位：hm</w:t>
            </w:r>
            <w:r>
              <w:rPr>
                <w:rFonts w:cs="Times New Roman"/>
                <w:color w:val="auto"/>
                <w:sz w:val="18"/>
                <w:vertAlign w:val="superscript"/>
              </w:rPr>
              <w:t>2</w:t>
            </w:r>
          </w:p>
        </w:tc>
        <w:tc>
          <w:tcPr>
            <w:tcW w:w="1228"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430"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int="eastAsia" w:eastAsia="仿宋_GB2312" w:cs="Times New Roman"/>
                <w:color w:val="auto"/>
                <w:sz w:val="18"/>
                <w:lang w:eastAsia="zh-CN"/>
              </w:rPr>
            </w:pPr>
            <w:r>
              <w:rPr>
                <w:rFonts w:hint="eastAsia" w:ascii="仿宋_GB2312" w:hAnsi="仿宋_GB2312" w:eastAsia="仿宋_GB2312" w:cs="仿宋_GB2312"/>
                <w:color w:val="auto"/>
                <w:sz w:val="18"/>
                <w:lang w:val="en-US" w:eastAsia="zh-CN"/>
              </w:rPr>
              <w:t>变电站及进站道路用地区</w:t>
            </w:r>
          </w:p>
        </w:tc>
        <w:tc>
          <w:tcPr>
            <w:tcW w:w="74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Ansi="宋体" w:cs="宋体"/>
                <w:color w:val="auto"/>
                <w:sz w:val="18"/>
              </w:rPr>
            </w:pPr>
            <w:r>
              <w:rPr>
                <w:rFonts w:hint="eastAsia" w:hAnsi="宋体" w:cs="宋体"/>
                <w:color w:val="auto"/>
                <w:sz w:val="18"/>
                <w:lang w:val="en-US" w:eastAsia="zh-CN"/>
              </w:rPr>
              <w:t>0.20</w:t>
            </w:r>
          </w:p>
        </w:tc>
        <w:tc>
          <w:tcPr>
            <w:tcW w:w="1228"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Ansi="宋体" w:cs="宋体"/>
                <w:color w:val="auto"/>
                <w:sz w:val="18"/>
              </w:rPr>
            </w:pPr>
            <w:r>
              <w:rPr>
                <w:rFonts w:hint="eastAsia" w:hAnsi="宋体" w:cs="宋体"/>
                <w:color w:val="auto"/>
                <w:sz w:val="18"/>
                <w:lang w:val="en-US" w:eastAsia="zh-CN"/>
              </w:rPr>
              <w:t>0.031</w:t>
            </w:r>
          </w:p>
        </w:tc>
        <w:tc>
          <w:tcPr>
            <w:tcW w:w="1467"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Ansi="宋体" w:cs="宋体"/>
                <w:color w:val="auto"/>
                <w:sz w:val="18"/>
              </w:rPr>
            </w:pPr>
            <w:r>
              <w:rPr>
                <w:rFonts w:hint="eastAsia"/>
                <w:color w:val="auto"/>
                <w:sz w:val="18"/>
                <w:lang w:val="en-US" w:eastAsia="zh-CN"/>
              </w:rPr>
              <w:t>0.03</w:t>
            </w:r>
            <w:r>
              <w:rPr>
                <w:rFonts w:hint="eastAsia"/>
                <w:color w:val="auto"/>
                <w:sz w:val="18"/>
              </w:rPr>
              <w:t>　</w:t>
            </w:r>
          </w:p>
        </w:tc>
        <w:tc>
          <w:tcPr>
            <w:tcW w:w="1229"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Ansi="宋体" w:cs="宋体"/>
                <w:color w:val="auto"/>
                <w:sz w:val="18"/>
              </w:rPr>
            </w:pPr>
            <w:r>
              <w:rPr>
                <w:rFonts w:hint="eastAsia"/>
                <w:color w:val="auto"/>
                <w:sz w:val="18"/>
                <w:lang w:val="en-US" w:eastAsia="zh-CN"/>
              </w:rPr>
              <w:t>0.001</w:t>
            </w:r>
            <w:r>
              <w:rPr>
                <w:rFonts w:hint="eastAsia"/>
                <w:color w:val="auto"/>
                <w:sz w:val="18"/>
              </w:rPr>
              <w:t>　</w:t>
            </w:r>
          </w:p>
        </w:tc>
        <w:tc>
          <w:tcPr>
            <w:tcW w:w="1228"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s="Times New Roman"/>
                <w:color w:val="auto"/>
                <w:sz w:val="18"/>
                <w:lang w:val="en-US" w:eastAsia="zh-CN"/>
              </w:rPr>
            </w:pPr>
            <w:r>
              <w:rPr>
                <w:rFonts w:hint="eastAsia" w:eastAsia="宋体" w:cs="Times New Roman"/>
                <w:color w:val="auto"/>
                <w:sz w:val="18"/>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430"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cs="Times New Roman"/>
                <w:color w:val="auto"/>
                <w:sz w:val="18"/>
              </w:rPr>
            </w:pPr>
            <w:r>
              <w:rPr>
                <w:rFonts w:hint="eastAsia" w:ascii="仿宋_GB2312" w:hAnsi="仿宋_GB2312" w:eastAsia="仿宋_GB2312" w:cs="仿宋_GB2312"/>
                <w:color w:val="auto"/>
                <w:sz w:val="18"/>
                <w:lang w:val="en-US" w:eastAsia="zh-CN"/>
              </w:rPr>
              <w:t>电缆沟用地区</w:t>
            </w:r>
          </w:p>
        </w:tc>
        <w:tc>
          <w:tcPr>
            <w:tcW w:w="74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Ansi="宋体" w:cs="宋体"/>
                <w:color w:val="auto"/>
                <w:sz w:val="18"/>
              </w:rPr>
            </w:pPr>
            <w:r>
              <w:rPr>
                <w:rFonts w:hint="eastAsia" w:hAnsi="宋体" w:cs="宋体"/>
                <w:color w:val="auto"/>
                <w:sz w:val="18"/>
                <w:lang w:val="en-US" w:eastAsia="zh-CN"/>
              </w:rPr>
              <w:t>0.05</w:t>
            </w:r>
          </w:p>
        </w:tc>
        <w:tc>
          <w:tcPr>
            <w:tcW w:w="1228"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Ansi="宋体" w:cs="宋体"/>
                <w:color w:val="auto"/>
                <w:sz w:val="18"/>
              </w:rPr>
            </w:pPr>
            <w:r>
              <w:rPr>
                <w:rFonts w:hint="eastAsia" w:hAnsi="宋体" w:cs="宋体"/>
                <w:color w:val="auto"/>
                <w:sz w:val="18"/>
                <w:lang w:val="en-US" w:eastAsia="zh-CN"/>
              </w:rPr>
              <w:t>0</w:t>
            </w:r>
          </w:p>
        </w:tc>
        <w:tc>
          <w:tcPr>
            <w:tcW w:w="1467"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Ansi="宋体" w:cs="宋体"/>
                <w:color w:val="auto"/>
                <w:sz w:val="18"/>
              </w:rPr>
            </w:pPr>
            <w:r>
              <w:rPr>
                <w:rFonts w:hint="eastAsia" w:hAnsi="宋体" w:cs="宋体"/>
                <w:color w:val="auto"/>
                <w:sz w:val="18"/>
                <w:lang w:val="en-US" w:eastAsia="zh-CN"/>
              </w:rPr>
              <w:t>0</w:t>
            </w:r>
          </w:p>
        </w:tc>
        <w:tc>
          <w:tcPr>
            <w:tcW w:w="1229"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Ansi="宋体" w:cs="宋体"/>
                <w:color w:val="auto"/>
                <w:sz w:val="18"/>
              </w:rPr>
            </w:pPr>
            <w:r>
              <w:rPr>
                <w:rFonts w:hint="eastAsia" w:hAnsi="宋体" w:cs="宋体"/>
                <w:color w:val="auto"/>
                <w:sz w:val="18"/>
                <w:lang w:val="en-US" w:eastAsia="zh-CN"/>
              </w:rPr>
              <w:t>0</w:t>
            </w:r>
          </w:p>
        </w:tc>
        <w:tc>
          <w:tcPr>
            <w:tcW w:w="1228" w:type="dxa"/>
            <w:shd w:val="clear" w:color="auto" w:fill="auto"/>
            <w:vAlign w:val="center"/>
          </w:tcPr>
          <w:p>
            <w:pPr>
              <w:pStyle w:val="53"/>
              <w:keepNext w:val="0"/>
              <w:keepLines w:val="0"/>
              <w:widowControl/>
              <w:suppressLineNumbers w:val="0"/>
              <w:spacing w:before="0" w:beforeAutospacing="0" w:after="0" w:afterAutospacing="0"/>
              <w:ind w:left="0" w:right="0"/>
              <w:rPr>
                <w:rFonts w:eastAsia="宋体" w:cs="Times New Roman"/>
                <w:color w:val="auto"/>
                <w:sz w:val="18"/>
              </w:rPr>
            </w:pPr>
            <w:r>
              <w:rPr>
                <w:rFonts w:hint="eastAsia" w:cs="Times New Roman"/>
                <w:color w:val="auto"/>
                <w:sz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40" w:hRule="atLeast"/>
        </w:trPr>
        <w:tc>
          <w:tcPr>
            <w:tcW w:w="2430" w:type="dxa"/>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rPr>
              <w:t>合计</w:t>
            </w:r>
          </w:p>
        </w:tc>
        <w:tc>
          <w:tcPr>
            <w:tcW w:w="746"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eastAsia="宋体" w:cs="Times New Roman"/>
                <w:color w:val="auto"/>
                <w:sz w:val="18"/>
              </w:rPr>
            </w:pPr>
            <w:r>
              <w:rPr>
                <w:rFonts w:hint="eastAsia" w:eastAsia="宋体" w:cs="Times New Roman"/>
                <w:color w:val="auto"/>
                <w:sz w:val="18"/>
                <w:lang w:val="en-US" w:eastAsia="zh-CN"/>
              </w:rPr>
              <w:t>0.25</w:t>
            </w:r>
          </w:p>
        </w:tc>
        <w:tc>
          <w:tcPr>
            <w:tcW w:w="1228"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eastAsia="宋体" w:cs="Times New Roman"/>
                <w:color w:val="auto"/>
                <w:sz w:val="18"/>
              </w:rPr>
            </w:pPr>
            <w:r>
              <w:rPr>
                <w:rFonts w:hint="eastAsia" w:eastAsia="宋体" w:cs="Times New Roman"/>
                <w:color w:val="auto"/>
                <w:sz w:val="18"/>
                <w:lang w:val="en-US" w:eastAsia="zh-CN"/>
              </w:rPr>
              <w:t>0.031</w:t>
            </w:r>
          </w:p>
        </w:tc>
        <w:tc>
          <w:tcPr>
            <w:tcW w:w="1467"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Ansi="宋体" w:cs="宋体"/>
                <w:color w:val="auto"/>
                <w:sz w:val="18"/>
              </w:rPr>
            </w:pPr>
            <w:r>
              <w:rPr>
                <w:rFonts w:hint="eastAsia"/>
                <w:color w:val="auto"/>
                <w:sz w:val="18"/>
                <w:lang w:val="en-US" w:eastAsia="zh-CN"/>
              </w:rPr>
              <w:t>0.03</w:t>
            </w:r>
          </w:p>
        </w:tc>
        <w:tc>
          <w:tcPr>
            <w:tcW w:w="1229" w:type="dxa"/>
            <w:shd w:val="clear" w:color="auto" w:fill="auto"/>
            <w:vAlign w:val="center"/>
          </w:tcPr>
          <w:p>
            <w:pPr>
              <w:pStyle w:val="53"/>
              <w:keepNext w:val="0"/>
              <w:keepLines w:val="0"/>
              <w:widowControl/>
              <w:suppressLineNumbers w:val="0"/>
              <w:spacing w:before="0" w:beforeAutospacing="0" w:after="0" w:afterAutospacing="0"/>
              <w:ind w:left="0" w:right="0" w:firstLine="0" w:firstLineChars="0"/>
              <w:rPr>
                <w:rFonts w:hAnsi="宋体" w:cs="宋体"/>
                <w:color w:val="auto"/>
                <w:sz w:val="18"/>
              </w:rPr>
            </w:pPr>
            <w:r>
              <w:rPr>
                <w:rFonts w:hint="eastAsia"/>
                <w:color w:val="auto"/>
                <w:sz w:val="18"/>
              </w:rPr>
              <w:t>0.0</w:t>
            </w:r>
            <w:r>
              <w:rPr>
                <w:rFonts w:hint="eastAsia"/>
                <w:color w:val="auto"/>
                <w:sz w:val="18"/>
                <w:lang w:val="en-US" w:eastAsia="zh-CN"/>
              </w:rPr>
              <w:t>01</w:t>
            </w:r>
          </w:p>
        </w:tc>
        <w:tc>
          <w:tcPr>
            <w:tcW w:w="1228" w:type="dxa"/>
            <w:shd w:val="clear" w:color="auto" w:fill="auto"/>
            <w:vAlign w:val="center"/>
          </w:tcPr>
          <w:p>
            <w:pPr>
              <w:pStyle w:val="53"/>
              <w:keepNext w:val="0"/>
              <w:keepLines w:val="0"/>
              <w:widowControl/>
              <w:suppressLineNumbers w:val="0"/>
              <w:spacing w:before="0" w:beforeAutospacing="0" w:after="0" w:afterAutospacing="0"/>
              <w:ind w:left="0" w:right="0"/>
              <w:rPr>
                <w:rFonts w:hint="default" w:eastAsia="宋体" w:cs="Times New Roman"/>
                <w:color w:val="auto"/>
                <w:sz w:val="18"/>
                <w:lang w:val="en-US"/>
              </w:rPr>
            </w:pPr>
            <w:r>
              <w:rPr>
                <w:rFonts w:hint="eastAsia" w:cs="Times New Roman"/>
                <w:color w:val="auto"/>
                <w:sz w:val="18"/>
                <w:lang w:val="en-US" w:eastAsia="zh-CN"/>
              </w:rPr>
              <w:t>12</w:t>
            </w:r>
          </w:p>
        </w:tc>
      </w:tr>
    </w:tbl>
    <w:p>
      <w:pPr>
        <w:pStyle w:val="4"/>
        <w:numPr>
          <w:ilvl w:val="2"/>
          <w:numId w:val="0"/>
        </w:numPr>
        <w:spacing w:before="120"/>
      </w:pPr>
      <w:r>
        <w:rPr>
          <w:rFonts w:hint="eastAsia"/>
        </w:rPr>
        <w:t xml:space="preserve">5.2.4  </w:t>
      </w:r>
      <w:r>
        <w:t>公众满意程度</w:t>
      </w:r>
      <w:bookmarkEnd w:id="167"/>
    </w:p>
    <w:p>
      <w:pPr>
        <w:spacing w:before="120"/>
        <w:ind w:firstLine="480"/>
      </w:pPr>
      <w:r>
        <w:t>根据水土保持设施验收工作的有关规定和要求，在验收工作过程中，报告编制组共向项目周边群众发放</w:t>
      </w:r>
      <w:r>
        <w:rPr>
          <w:rFonts w:hint="eastAsia"/>
          <w:lang w:val="en-US" w:eastAsia="zh-CN"/>
        </w:rPr>
        <w:t>10</w:t>
      </w:r>
      <w:r>
        <w:t>张调查表，收回有效调查表</w:t>
      </w:r>
      <w:r>
        <w:rPr>
          <w:rFonts w:hint="eastAsia"/>
          <w:lang w:val="en-US" w:eastAsia="zh-CN"/>
        </w:rPr>
        <w:t>10</w:t>
      </w:r>
      <w:r>
        <w:t>张。通过抽样进行民意调查，目的在于了解</w:t>
      </w:r>
      <w:r>
        <w:rPr>
          <w:rFonts w:hint="eastAsia"/>
          <w:lang w:eastAsia="zh-CN"/>
        </w:rPr>
        <w:t>甘孜康定新都桥220kV临时变35kV配套工程</w:t>
      </w:r>
      <w:r>
        <w:t>水土保持及水土保持设施对当地经济和自然环境所产生的影响及民众的反响，以作为本次验收工作的参考。调查对象包括农民、工人、学生、经商者、市民等。被调查者中20-30岁</w:t>
      </w:r>
      <w:r>
        <w:rPr>
          <w:rFonts w:hint="eastAsia"/>
          <w:lang w:val="en-US" w:eastAsia="zh-CN"/>
        </w:rPr>
        <w:t>4</w:t>
      </w:r>
      <w:r>
        <w:t>人、30-50岁</w:t>
      </w:r>
      <w:r>
        <w:rPr>
          <w:rFonts w:hint="eastAsia"/>
          <w:lang w:val="en-US" w:eastAsia="zh-CN"/>
        </w:rPr>
        <w:t>4</w:t>
      </w:r>
      <w:r>
        <w:t>人，50岁以上</w:t>
      </w:r>
      <w:r>
        <w:rPr>
          <w:rFonts w:hint="eastAsia"/>
          <w:lang w:val="en-US" w:eastAsia="zh-CN"/>
        </w:rPr>
        <w:t>2</w:t>
      </w:r>
      <w:r>
        <w:t>人。其中男性</w:t>
      </w:r>
      <w:r>
        <w:rPr>
          <w:rFonts w:hint="eastAsia"/>
          <w:lang w:val="en-US" w:eastAsia="zh-CN"/>
        </w:rPr>
        <w:t>8</w:t>
      </w:r>
      <w:r>
        <w:t>人，女性</w:t>
      </w:r>
      <w:r>
        <w:rPr>
          <w:rFonts w:hint="eastAsia"/>
          <w:lang w:val="en-US" w:eastAsia="zh-CN"/>
        </w:rPr>
        <w:t>2</w:t>
      </w:r>
      <w:r>
        <w:t>人。报告编制组以此作为本次验收工作的参考，为今后的水土保持工作落实提供依据，公众满意度调查统计情况见下表。</w:t>
      </w:r>
    </w:p>
    <w:p>
      <w:pPr>
        <w:pStyle w:val="58"/>
        <w:spacing w:before="120"/>
        <w:rPr>
          <w:color w:val="auto"/>
        </w:rPr>
      </w:pPr>
      <w:r>
        <w:rPr>
          <w:color w:val="auto"/>
        </w:rPr>
        <w:t>项目水土保持公众调查统计表</w:t>
      </w:r>
    </w:p>
    <w:p>
      <w:pPr>
        <w:pStyle w:val="13"/>
        <w:keepNext/>
      </w:pPr>
      <w:r>
        <w:t>表</w:t>
      </w:r>
      <w:r>
        <w:rPr>
          <w:rFonts w:hint="eastAsia"/>
        </w:rPr>
        <w:t>5.2</w:t>
      </w:r>
      <w:r>
        <w:noBreakHyphen/>
      </w:r>
      <w:r>
        <w:rPr>
          <w:rFonts w:hint="eastAsia"/>
        </w:rPr>
        <w:t>6</w:t>
      </w:r>
    </w:p>
    <w:tbl>
      <w:tblPr>
        <w:tblStyle w:val="32"/>
        <w:tblW w:w="8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2"/>
        <w:gridCol w:w="872"/>
        <w:gridCol w:w="798"/>
        <w:gridCol w:w="479"/>
        <w:gridCol w:w="320"/>
        <w:gridCol w:w="798"/>
        <w:gridCol w:w="159"/>
        <w:gridCol w:w="640"/>
        <w:gridCol w:w="637"/>
        <w:gridCol w:w="161"/>
        <w:gridCol w:w="799"/>
        <w:gridCol w:w="317"/>
        <w:gridCol w:w="554"/>
        <w:gridCol w:w="7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34"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调查年龄段</w:t>
            </w:r>
          </w:p>
        </w:tc>
        <w:tc>
          <w:tcPr>
            <w:tcW w:w="1277"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20-30岁</w:t>
            </w:r>
          </w:p>
        </w:tc>
        <w:tc>
          <w:tcPr>
            <w:tcW w:w="1277" w:type="dxa"/>
            <w:gridSpan w:val="3"/>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30-50岁</w:t>
            </w:r>
          </w:p>
        </w:tc>
        <w:tc>
          <w:tcPr>
            <w:tcW w:w="1277"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50岁以上</w:t>
            </w:r>
          </w:p>
        </w:tc>
        <w:tc>
          <w:tcPr>
            <w:tcW w:w="1277" w:type="dxa"/>
            <w:gridSpan w:val="3"/>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男</w:t>
            </w:r>
          </w:p>
        </w:tc>
        <w:tc>
          <w:tcPr>
            <w:tcW w:w="1284"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1262"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调查总数</w:t>
            </w:r>
          </w:p>
        </w:tc>
        <w:tc>
          <w:tcPr>
            <w:tcW w:w="872"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rFonts w:hint="eastAsia"/>
                <w:kern w:val="0"/>
                <w:sz w:val="18"/>
                <w:szCs w:val="18"/>
                <w:lang w:val="en-US" w:eastAsia="zh-CN"/>
              </w:rPr>
              <w:t>10</w:t>
            </w:r>
            <w:r>
              <w:rPr>
                <w:kern w:val="0"/>
                <w:sz w:val="18"/>
                <w:szCs w:val="18"/>
              </w:rPr>
              <w:t>人</w:t>
            </w:r>
          </w:p>
        </w:tc>
        <w:tc>
          <w:tcPr>
            <w:tcW w:w="1277"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eastAsia="zh-CN"/>
              </w:rPr>
            </w:pPr>
            <w:r>
              <w:rPr>
                <w:rFonts w:hint="eastAsia"/>
                <w:kern w:val="0"/>
                <w:sz w:val="18"/>
                <w:szCs w:val="18"/>
                <w:lang w:val="en-US" w:eastAsia="zh-CN"/>
              </w:rPr>
              <w:t>4</w:t>
            </w:r>
          </w:p>
        </w:tc>
        <w:tc>
          <w:tcPr>
            <w:tcW w:w="1277" w:type="dxa"/>
            <w:gridSpan w:val="3"/>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eastAsia="仿宋_GB2312"/>
                <w:kern w:val="0"/>
                <w:sz w:val="18"/>
                <w:szCs w:val="18"/>
                <w:lang w:val="en-US" w:eastAsia="zh-CN"/>
              </w:rPr>
            </w:pPr>
            <w:r>
              <w:rPr>
                <w:rFonts w:hint="eastAsia"/>
                <w:kern w:val="0"/>
                <w:sz w:val="18"/>
                <w:szCs w:val="18"/>
                <w:lang w:val="en-US" w:eastAsia="zh-CN"/>
              </w:rPr>
              <w:t>4</w:t>
            </w:r>
          </w:p>
        </w:tc>
        <w:tc>
          <w:tcPr>
            <w:tcW w:w="1277"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eastAsia="zh-CN"/>
              </w:rPr>
            </w:pPr>
            <w:r>
              <w:rPr>
                <w:rFonts w:hint="eastAsia"/>
                <w:kern w:val="0"/>
                <w:sz w:val="18"/>
                <w:szCs w:val="18"/>
                <w:lang w:val="en-US" w:eastAsia="zh-CN"/>
              </w:rPr>
              <w:t>2</w:t>
            </w:r>
          </w:p>
        </w:tc>
        <w:tc>
          <w:tcPr>
            <w:tcW w:w="1277" w:type="dxa"/>
            <w:gridSpan w:val="3"/>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eastAsia="仿宋_GB2312"/>
                <w:kern w:val="0"/>
                <w:sz w:val="18"/>
                <w:szCs w:val="18"/>
                <w:lang w:val="en-US" w:eastAsia="zh-CN"/>
              </w:rPr>
            </w:pPr>
            <w:r>
              <w:rPr>
                <w:rFonts w:hint="eastAsia"/>
                <w:kern w:val="0"/>
                <w:sz w:val="18"/>
                <w:szCs w:val="18"/>
                <w:lang w:val="en-US" w:eastAsia="zh-CN"/>
              </w:rPr>
              <w:t>8</w:t>
            </w:r>
          </w:p>
        </w:tc>
        <w:tc>
          <w:tcPr>
            <w:tcW w:w="1284"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eastAsia="zh-CN"/>
              </w:rPr>
            </w:pPr>
            <w:r>
              <w:rPr>
                <w:rFonts w:hint="eastAsia"/>
                <w:kern w:val="0"/>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34"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职 业</w:t>
            </w:r>
          </w:p>
        </w:tc>
        <w:tc>
          <w:tcPr>
            <w:tcW w:w="1597" w:type="dxa"/>
            <w:gridSpan w:val="3"/>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农民</w:t>
            </w:r>
          </w:p>
        </w:tc>
        <w:tc>
          <w:tcPr>
            <w:tcW w:w="1597" w:type="dxa"/>
            <w:gridSpan w:val="3"/>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居民</w:t>
            </w:r>
          </w:p>
        </w:tc>
        <w:tc>
          <w:tcPr>
            <w:tcW w:w="1597" w:type="dxa"/>
            <w:gridSpan w:val="3"/>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学生</w:t>
            </w:r>
          </w:p>
        </w:tc>
        <w:tc>
          <w:tcPr>
            <w:tcW w:w="1601" w:type="dxa"/>
            <w:gridSpan w:val="3"/>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经商者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34"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人 数</w:t>
            </w:r>
          </w:p>
        </w:tc>
        <w:tc>
          <w:tcPr>
            <w:tcW w:w="1597" w:type="dxa"/>
            <w:gridSpan w:val="3"/>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eastAsia="仿宋_GB2312"/>
                <w:kern w:val="0"/>
                <w:sz w:val="18"/>
                <w:szCs w:val="18"/>
                <w:lang w:val="en-US" w:eastAsia="zh-CN"/>
              </w:rPr>
            </w:pPr>
            <w:r>
              <w:rPr>
                <w:rFonts w:hint="eastAsia"/>
                <w:kern w:val="0"/>
                <w:sz w:val="18"/>
                <w:szCs w:val="18"/>
                <w:lang w:val="en-US" w:eastAsia="zh-CN"/>
              </w:rPr>
              <w:t>5</w:t>
            </w:r>
          </w:p>
        </w:tc>
        <w:tc>
          <w:tcPr>
            <w:tcW w:w="1597" w:type="dxa"/>
            <w:gridSpan w:val="3"/>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eastAsia="zh-CN"/>
              </w:rPr>
            </w:pPr>
            <w:r>
              <w:rPr>
                <w:rFonts w:hint="eastAsia"/>
                <w:kern w:val="0"/>
                <w:sz w:val="18"/>
                <w:szCs w:val="18"/>
                <w:lang w:val="en-US" w:eastAsia="zh-CN"/>
              </w:rPr>
              <w:t>2</w:t>
            </w:r>
          </w:p>
        </w:tc>
        <w:tc>
          <w:tcPr>
            <w:tcW w:w="1597" w:type="dxa"/>
            <w:gridSpan w:val="3"/>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eastAsia="zh-CN"/>
              </w:rPr>
            </w:pPr>
            <w:r>
              <w:rPr>
                <w:rFonts w:hint="eastAsia"/>
                <w:kern w:val="0"/>
                <w:sz w:val="18"/>
                <w:szCs w:val="18"/>
                <w:lang w:val="en-US" w:eastAsia="zh-CN"/>
              </w:rPr>
              <w:t>1</w:t>
            </w:r>
          </w:p>
        </w:tc>
        <w:tc>
          <w:tcPr>
            <w:tcW w:w="1601" w:type="dxa"/>
            <w:gridSpan w:val="3"/>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eastAsia="zh-CN"/>
              </w:rPr>
            </w:pPr>
            <w:r>
              <w:rPr>
                <w:rFonts w:hint="eastAsia"/>
                <w:kern w:val="0"/>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34" w:type="dxa"/>
            <w:gridSpan w:val="2"/>
            <w:vMerge w:val="restart"/>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调查项目</w:t>
            </w:r>
          </w:p>
        </w:tc>
        <w:tc>
          <w:tcPr>
            <w:tcW w:w="6392" w:type="dxa"/>
            <w:gridSpan w:val="1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调查项目评价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34" w:type="dxa"/>
            <w:gridSpan w:val="2"/>
            <w:vMerge w:val="continue"/>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p>
        </w:tc>
        <w:tc>
          <w:tcPr>
            <w:tcW w:w="798"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好</w:t>
            </w:r>
          </w:p>
        </w:tc>
        <w:tc>
          <w:tcPr>
            <w:tcW w:w="799"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w:t>
            </w:r>
          </w:p>
        </w:tc>
        <w:tc>
          <w:tcPr>
            <w:tcW w:w="798"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一般</w:t>
            </w:r>
          </w:p>
        </w:tc>
        <w:tc>
          <w:tcPr>
            <w:tcW w:w="799"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w:t>
            </w:r>
          </w:p>
        </w:tc>
        <w:tc>
          <w:tcPr>
            <w:tcW w:w="798"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差</w:t>
            </w:r>
          </w:p>
        </w:tc>
        <w:tc>
          <w:tcPr>
            <w:tcW w:w="799"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w:t>
            </w:r>
          </w:p>
        </w:tc>
        <w:tc>
          <w:tcPr>
            <w:tcW w:w="871"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说不清</w:t>
            </w:r>
          </w:p>
        </w:tc>
        <w:tc>
          <w:tcPr>
            <w:tcW w:w="730"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34"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项目对当地经济影响</w:t>
            </w:r>
          </w:p>
        </w:tc>
        <w:tc>
          <w:tcPr>
            <w:tcW w:w="798"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eastAsia="仿宋_GB2312"/>
                <w:kern w:val="0"/>
                <w:sz w:val="18"/>
                <w:szCs w:val="18"/>
                <w:lang w:val="en-US" w:eastAsia="zh-CN"/>
              </w:rPr>
            </w:pPr>
            <w:r>
              <w:rPr>
                <w:rFonts w:hint="eastAsia"/>
                <w:kern w:val="0"/>
                <w:sz w:val="18"/>
                <w:szCs w:val="18"/>
                <w:lang w:val="en-US" w:eastAsia="zh-CN"/>
              </w:rPr>
              <w:t>10</w:t>
            </w:r>
          </w:p>
        </w:tc>
        <w:tc>
          <w:tcPr>
            <w:tcW w:w="799"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rFonts w:hint="eastAsia"/>
                <w:kern w:val="0"/>
                <w:sz w:val="18"/>
                <w:szCs w:val="18"/>
              </w:rPr>
              <w:t>100</w:t>
            </w:r>
          </w:p>
        </w:tc>
        <w:tc>
          <w:tcPr>
            <w:tcW w:w="798"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rFonts w:hint="eastAsia"/>
                <w:kern w:val="0"/>
                <w:sz w:val="18"/>
                <w:szCs w:val="18"/>
              </w:rPr>
              <w:t>0</w:t>
            </w:r>
          </w:p>
        </w:tc>
        <w:tc>
          <w:tcPr>
            <w:tcW w:w="799"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p>
        </w:tc>
        <w:tc>
          <w:tcPr>
            <w:tcW w:w="798"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rFonts w:hint="eastAsia"/>
                <w:kern w:val="0"/>
                <w:sz w:val="18"/>
                <w:szCs w:val="18"/>
              </w:rPr>
              <w:t>0</w:t>
            </w:r>
          </w:p>
        </w:tc>
        <w:tc>
          <w:tcPr>
            <w:tcW w:w="799"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p>
        </w:tc>
        <w:tc>
          <w:tcPr>
            <w:tcW w:w="871"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rFonts w:hint="eastAsia"/>
                <w:kern w:val="0"/>
                <w:sz w:val="18"/>
                <w:szCs w:val="18"/>
              </w:rPr>
              <w:t>0</w:t>
            </w:r>
          </w:p>
        </w:tc>
        <w:tc>
          <w:tcPr>
            <w:tcW w:w="730"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34"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项目对当地环境影响</w:t>
            </w:r>
          </w:p>
        </w:tc>
        <w:tc>
          <w:tcPr>
            <w:tcW w:w="798"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eastAsia="仿宋_GB2312"/>
                <w:kern w:val="0"/>
                <w:sz w:val="18"/>
                <w:szCs w:val="18"/>
                <w:lang w:val="en-US" w:eastAsia="zh-CN"/>
              </w:rPr>
            </w:pPr>
            <w:r>
              <w:rPr>
                <w:rFonts w:hint="eastAsia"/>
                <w:kern w:val="0"/>
                <w:sz w:val="18"/>
                <w:szCs w:val="18"/>
                <w:lang w:val="en-US" w:eastAsia="zh-CN"/>
              </w:rPr>
              <w:t>10</w:t>
            </w:r>
          </w:p>
        </w:tc>
        <w:tc>
          <w:tcPr>
            <w:tcW w:w="799"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eastAsia="仿宋_GB2312"/>
                <w:kern w:val="0"/>
                <w:sz w:val="18"/>
                <w:szCs w:val="18"/>
                <w:lang w:val="en-US" w:eastAsia="zh-CN"/>
              </w:rPr>
            </w:pPr>
            <w:r>
              <w:rPr>
                <w:rFonts w:hint="eastAsia"/>
                <w:kern w:val="0"/>
                <w:sz w:val="18"/>
                <w:szCs w:val="18"/>
                <w:lang w:val="en-US" w:eastAsia="zh-CN"/>
              </w:rPr>
              <w:t>100</w:t>
            </w:r>
          </w:p>
        </w:tc>
        <w:tc>
          <w:tcPr>
            <w:tcW w:w="798"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eastAsia="zh-CN"/>
              </w:rPr>
            </w:pPr>
            <w:r>
              <w:rPr>
                <w:rFonts w:hint="eastAsia"/>
                <w:kern w:val="0"/>
                <w:sz w:val="18"/>
                <w:szCs w:val="18"/>
                <w:lang w:val="en-US" w:eastAsia="zh-CN"/>
              </w:rPr>
              <w:t>0</w:t>
            </w:r>
          </w:p>
        </w:tc>
        <w:tc>
          <w:tcPr>
            <w:tcW w:w="799"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eastAsia="仿宋_GB2312"/>
                <w:kern w:val="0"/>
                <w:sz w:val="18"/>
                <w:szCs w:val="18"/>
                <w:lang w:val="en-US" w:eastAsia="zh-CN"/>
              </w:rPr>
            </w:pPr>
          </w:p>
        </w:tc>
        <w:tc>
          <w:tcPr>
            <w:tcW w:w="798"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eastAsia="zh-CN"/>
              </w:rPr>
            </w:pPr>
            <w:r>
              <w:rPr>
                <w:rFonts w:hint="eastAsia"/>
                <w:kern w:val="0"/>
                <w:sz w:val="18"/>
                <w:szCs w:val="18"/>
                <w:lang w:val="en-US" w:eastAsia="zh-CN"/>
              </w:rPr>
              <w:t>0</w:t>
            </w:r>
          </w:p>
        </w:tc>
        <w:tc>
          <w:tcPr>
            <w:tcW w:w="799"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eastAsia="仿宋_GB2312"/>
                <w:kern w:val="0"/>
                <w:sz w:val="18"/>
                <w:szCs w:val="18"/>
                <w:lang w:val="en-US" w:eastAsia="zh-CN"/>
              </w:rPr>
            </w:pPr>
          </w:p>
        </w:tc>
        <w:tc>
          <w:tcPr>
            <w:tcW w:w="871"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eastAsia="zh-CN"/>
              </w:rPr>
            </w:pPr>
            <w:r>
              <w:rPr>
                <w:rFonts w:hint="eastAsia"/>
                <w:kern w:val="0"/>
                <w:sz w:val="18"/>
                <w:szCs w:val="18"/>
                <w:lang w:val="en-US" w:eastAsia="zh-CN"/>
              </w:rPr>
              <w:t>0</w:t>
            </w:r>
          </w:p>
        </w:tc>
        <w:tc>
          <w:tcPr>
            <w:tcW w:w="730"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eastAsia="仿宋_GB2312"/>
                <w:kern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34"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不影响农业生产活动</w:t>
            </w:r>
          </w:p>
        </w:tc>
        <w:tc>
          <w:tcPr>
            <w:tcW w:w="798"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eastAsia="仿宋_GB2312"/>
                <w:kern w:val="0"/>
                <w:sz w:val="18"/>
                <w:szCs w:val="18"/>
                <w:lang w:val="en-US" w:eastAsia="zh-CN"/>
              </w:rPr>
            </w:pPr>
            <w:r>
              <w:rPr>
                <w:rFonts w:hint="eastAsia"/>
                <w:kern w:val="0"/>
                <w:sz w:val="18"/>
                <w:szCs w:val="18"/>
                <w:lang w:val="en-US" w:eastAsia="zh-CN"/>
              </w:rPr>
              <w:t>10</w:t>
            </w:r>
          </w:p>
        </w:tc>
        <w:tc>
          <w:tcPr>
            <w:tcW w:w="799"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eastAsia="仿宋_GB2312"/>
                <w:kern w:val="0"/>
                <w:sz w:val="18"/>
                <w:szCs w:val="18"/>
                <w:lang w:val="en-US" w:eastAsia="zh-CN"/>
              </w:rPr>
            </w:pPr>
            <w:r>
              <w:rPr>
                <w:rFonts w:hint="eastAsia"/>
                <w:kern w:val="0"/>
                <w:sz w:val="18"/>
                <w:szCs w:val="18"/>
                <w:lang w:val="en-US" w:eastAsia="zh-CN"/>
              </w:rPr>
              <w:t>100</w:t>
            </w:r>
          </w:p>
        </w:tc>
        <w:tc>
          <w:tcPr>
            <w:tcW w:w="798"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val="en-US" w:eastAsia="zh-CN"/>
              </w:rPr>
            </w:pPr>
            <w:r>
              <w:rPr>
                <w:rFonts w:hint="eastAsia"/>
                <w:kern w:val="0"/>
                <w:sz w:val="18"/>
                <w:szCs w:val="18"/>
                <w:lang w:val="en-US" w:eastAsia="zh-CN"/>
              </w:rPr>
              <w:t>0</w:t>
            </w:r>
          </w:p>
        </w:tc>
        <w:tc>
          <w:tcPr>
            <w:tcW w:w="799"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eastAsia="仿宋_GB2312"/>
                <w:kern w:val="0"/>
                <w:sz w:val="18"/>
                <w:szCs w:val="18"/>
                <w:lang w:val="en-US" w:eastAsia="zh-CN"/>
              </w:rPr>
            </w:pPr>
          </w:p>
        </w:tc>
        <w:tc>
          <w:tcPr>
            <w:tcW w:w="798"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val="en-US" w:eastAsia="zh-CN"/>
              </w:rPr>
            </w:pPr>
            <w:r>
              <w:rPr>
                <w:rFonts w:hint="eastAsia"/>
                <w:kern w:val="0"/>
                <w:sz w:val="18"/>
                <w:szCs w:val="18"/>
                <w:lang w:val="en-US" w:eastAsia="zh-CN"/>
              </w:rPr>
              <w:t>0</w:t>
            </w:r>
          </w:p>
        </w:tc>
        <w:tc>
          <w:tcPr>
            <w:tcW w:w="799"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val="en-US" w:eastAsia="zh-CN"/>
              </w:rPr>
            </w:pPr>
          </w:p>
        </w:tc>
        <w:tc>
          <w:tcPr>
            <w:tcW w:w="871"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val="en-US" w:eastAsia="zh-CN"/>
              </w:rPr>
            </w:pPr>
            <w:r>
              <w:rPr>
                <w:rFonts w:hint="eastAsia"/>
                <w:kern w:val="0"/>
                <w:sz w:val="18"/>
                <w:szCs w:val="18"/>
                <w:lang w:val="en-US" w:eastAsia="zh-CN"/>
              </w:rPr>
              <w:t>0</w:t>
            </w:r>
          </w:p>
        </w:tc>
        <w:tc>
          <w:tcPr>
            <w:tcW w:w="730"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34"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项目林草植被建设</w:t>
            </w:r>
          </w:p>
        </w:tc>
        <w:tc>
          <w:tcPr>
            <w:tcW w:w="798"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eastAsia="仿宋_GB2312"/>
                <w:kern w:val="0"/>
                <w:sz w:val="18"/>
                <w:szCs w:val="18"/>
                <w:lang w:val="en-US" w:eastAsia="zh-CN"/>
              </w:rPr>
            </w:pPr>
            <w:r>
              <w:rPr>
                <w:rFonts w:hint="eastAsia"/>
                <w:kern w:val="0"/>
                <w:sz w:val="18"/>
                <w:szCs w:val="18"/>
                <w:lang w:val="en-US" w:eastAsia="zh-CN"/>
              </w:rPr>
              <w:t>9</w:t>
            </w:r>
          </w:p>
        </w:tc>
        <w:tc>
          <w:tcPr>
            <w:tcW w:w="799"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eastAsia="仿宋_GB2312"/>
                <w:kern w:val="0"/>
                <w:sz w:val="18"/>
                <w:szCs w:val="18"/>
                <w:lang w:val="en-US" w:eastAsia="zh-CN"/>
              </w:rPr>
            </w:pPr>
            <w:r>
              <w:rPr>
                <w:rFonts w:hint="eastAsia"/>
                <w:kern w:val="0"/>
                <w:sz w:val="18"/>
                <w:szCs w:val="18"/>
                <w:lang w:val="en-US" w:eastAsia="zh-CN"/>
              </w:rPr>
              <w:t>90</w:t>
            </w:r>
          </w:p>
        </w:tc>
        <w:tc>
          <w:tcPr>
            <w:tcW w:w="798"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val="en-US" w:eastAsia="zh-CN"/>
              </w:rPr>
            </w:pPr>
            <w:r>
              <w:rPr>
                <w:rFonts w:hint="eastAsia"/>
                <w:kern w:val="0"/>
                <w:sz w:val="18"/>
                <w:szCs w:val="18"/>
                <w:lang w:val="en-US" w:eastAsia="zh-CN"/>
              </w:rPr>
              <w:t>1</w:t>
            </w:r>
          </w:p>
        </w:tc>
        <w:tc>
          <w:tcPr>
            <w:tcW w:w="799"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eastAsia="仿宋_GB2312"/>
                <w:kern w:val="0"/>
                <w:sz w:val="18"/>
                <w:szCs w:val="18"/>
                <w:lang w:val="en-US" w:eastAsia="zh-CN"/>
              </w:rPr>
            </w:pPr>
            <w:r>
              <w:rPr>
                <w:rFonts w:hint="eastAsia"/>
                <w:kern w:val="0"/>
                <w:sz w:val="18"/>
                <w:szCs w:val="18"/>
                <w:lang w:val="en-US" w:eastAsia="zh-CN"/>
              </w:rPr>
              <w:t>10</w:t>
            </w:r>
          </w:p>
        </w:tc>
        <w:tc>
          <w:tcPr>
            <w:tcW w:w="798"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val="en-US" w:eastAsia="zh-CN"/>
              </w:rPr>
            </w:pPr>
            <w:r>
              <w:rPr>
                <w:rFonts w:hint="eastAsia"/>
                <w:kern w:val="0"/>
                <w:sz w:val="18"/>
                <w:szCs w:val="18"/>
                <w:lang w:val="en-US" w:eastAsia="zh-CN"/>
              </w:rPr>
              <w:t>0</w:t>
            </w:r>
          </w:p>
        </w:tc>
        <w:tc>
          <w:tcPr>
            <w:tcW w:w="799"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val="en-US" w:eastAsia="zh-CN"/>
              </w:rPr>
            </w:pPr>
          </w:p>
        </w:tc>
        <w:tc>
          <w:tcPr>
            <w:tcW w:w="871"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val="en-US" w:eastAsia="zh-CN"/>
              </w:rPr>
            </w:pPr>
            <w:r>
              <w:rPr>
                <w:rFonts w:hint="eastAsia"/>
                <w:kern w:val="0"/>
                <w:sz w:val="18"/>
                <w:szCs w:val="18"/>
                <w:lang w:val="en-US" w:eastAsia="zh-CN"/>
              </w:rPr>
              <w:t>0</w:t>
            </w:r>
          </w:p>
        </w:tc>
        <w:tc>
          <w:tcPr>
            <w:tcW w:w="730"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eastAsia="仿宋_GB2312"/>
                <w:kern w:val="0"/>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134"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kern w:val="0"/>
                <w:sz w:val="18"/>
                <w:szCs w:val="18"/>
              </w:rPr>
            </w:pPr>
            <w:r>
              <w:rPr>
                <w:kern w:val="0"/>
                <w:sz w:val="18"/>
                <w:szCs w:val="18"/>
              </w:rPr>
              <w:t>土地恢复情况</w:t>
            </w:r>
          </w:p>
        </w:tc>
        <w:tc>
          <w:tcPr>
            <w:tcW w:w="798"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ascii="Times New Roman" w:hAnsi="Times New Roman" w:eastAsia="仿宋_GB2312" w:cs="Times New Roman"/>
                <w:kern w:val="0"/>
                <w:sz w:val="18"/>
                <w:szCs w:val="18"/>
                <w:lang w:val="en-US" w:eastAsia="zh-CN" w:bidi="ar-SA"/>
              </w:rPr>
            </w:pPr>
            <w:r>
              <w:rPr>
                <w:rFonts w:hint="eastAsia"/>
                <w:kern w:val="0"/>
                <w:sz w:val="18"/>
                <w:szCs w:val="18"/>
                <w:lang w:val="en-US" w:eastAsia="zh-CN"/>
              </w:rPr>
              <w:t>9</w:t>
            </w:r>
          </w:p>
        </w:tc>
        <w:tc>
          <w:tcPr>
            <w:tcW w:w="799"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ascii="Times New Roman" w:hAnsi="Times New Roman" w:eastAsia="仿宋_GB2312" w:cs="Times New Roman"/>
                <w:kern w:val="0"/>
                <w:sz w:val="18"/>
                <w:szCs w:val="18"/>
                <w:lang w:val="en-US" w:eastAsia="zh-CN" w:bidi="ar-SA"/>
              </w:rPr>
            </w:pPr>
            <w:r>
              <w:rPr>
                <w:rFonts w:hint="eastAsia"/>
                <w:kern w:val="0"/>
                <w:sz w:val="18"/>
                <w:szCs w:val="18"/>
                <w:lang w:val="en-US" w:eastAsia="zh-CN"/>
              </w:rPr>
              <w:t>90</w:t>
            </w:r>
          </w:p>
        </w:tc>
        <w:tc>
          <w:tcPr>
            <w:tcW w:w="798"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ascii="Times New Roman" w:hAnsi="Times New Roman" w:eastAsia="仿宋_GB2312" w:cs="Times New Roman"/>
                <w:kern w:val="0"/>
                <w:sz w:val="18"/>
                <w:szCs w:val="18"/>
                <w:lang w:val="en-US" w:eastAsia="zh-CN" w:bidi="ar-SA"/>
              </w:rPr>
            </w:pPr>
            <w:r>
              <w:rPr>
                <w:rFonts w:hint="eastAsia"/>
                <w:kern w:val="0"/>
                <w:sz w:val="18"/>
                <w:szCs w:val="18"/>
                <w:lang w:val="en-US" w:eastAsia="zh-CN"/>
              </w:rPr>
              <w:t>1</w:t>
            </w:r>
          </w:p>
        </w:tc>
        <w:tc>
          <w:tcPr>
            <w:tcW w:w="799"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default" w:ascii="Times New Roman" w:hAnsi="Times New Roman" w:eastAsia="仿宋_GB2312" w:cs="Times New Roman"/>
                <w:kern w:val="0"/>
                <w:sz w:val="18"/>
                <w:szCs w:val="18"/>
                <w:lang w:val="en-US" w:eastAsia="zh-CN" w:bidi="ar-SA"/>
              </w:rPr>
            </w:pPr>
            <w:r>
              <w:rPr>
                <w:rFonts w:hint="eastAsia"/>
                <w:kern w:val="0"/>
                <w:sz w:val="18"/>
                <w:szCs w:val="18"/>
                <w:lang w:val="en-US" w:eastAsia="zh-CN"/>
              </w:rPr>
              <w:t>10</w:t>
            </w:r>
          </w:p>
        </w:tc>
        <w:tc>
          <w:tcPr>
            <w:tcW w:w="798"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ascii="Times New Roman" w:hAnsi="Times New Roman" w:eastAsia="仿宋_GB2312" w:cs="Times New Roman"/>
                <w:kern w:val="0"/>
                <w:sz w:val="18"/>
                <w:szCs w:val="18"/>
                <w:lang w:val="en-US" w:eastAsia="zh-CN" w:bidi="ar-SA"/>
              </w:rPr>
            </w:pPr>
            <w:r>
              <w:rPr>
                <w:rFonts w:hint="eastAsia"/>
                <w:kern w:val="0"/>
                <w:sz w:val="18"/>
                <w:szCs w:val="18"/>
                <w:lang w:val="en-US" w:eastAsia="zh-CN"/>
              </w:rPr>
              <w:t>0</w:t>
            </w:r>
          </w:p>
        </w:tc>
        <w:tc>
          <w:tcPr>
            <w:tcW w:w="799"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ascii="Times New Roman" w:hAnsi="Times New Roman" w:eastAsia="仿宋_GB2312" w:cs="Times New Roman"/>
                <w:kern w:val="0"/>
                <w:sz w:val="18"/>
                <w:szCs w:val="18"/>
                <w:lang w:val="en-US" w:eastAsia="zh-CN" w:bidi="ar-SA"/>
              </w:rPr>
            </w:pPr>
          </w:p>
        </w:tc>
        <w:tc>
          <w:tcPr>
            <w:tcW w:w="871" w:type="dxa"/>
            <w:gridSpan w:val="2"/>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ascii="Times New Roman" w:hAnsi="Times New Roman" w:eastAsia="仿宋_GB2312" w:cs="Times New Roman"/>
                <w:kern w:val="0"/>
                <w:sz w:val="18"/>
                <w:szCs w:val="18"/>
                <w:lang w:val="en-US" w:eastAsia="zh-CN" w:bidi="ar-SA"/>
              </w:rPr>
            </w:pPr>
            <w:r>
              <w:rPr>
                <w:rFonts w:hint="eastAsia"/>
                <w:kern w:val="0"/>
                <w:sz w:val="18"/>
                <w:szCs w:val="18"/>
                <w:lang w:val="en-US" w:eastAsia="zh-CN"/>
              </w:rPr>
              <w:t>0</w:t>
            </w:r>
          </w:p>
        </w:tc>
        <w:tc>
          <w:tcPr>
            <w:tcW w:w="730" w:type="dxa"/>
            <w:tcBorders>
              <w:tl2br w:val="nil"/>
              <w:tr2bl w:val="nil"/>
            </w:tcBorders>
            <w:vAlign w:val="center"/>
          </w:tcPr>
          <w:p>
            <w:pPr>
              <w:keepNext w:val="0"/>
              <w:keepLines w:val="0"/>
              <w:widowControl/>
              <w:suppressLineNumbers w:val="0"/>
              <w:spacing w:before="0" w:beforeLines="0" w:beforeAutospacing="0" w:after="0" w:afterAutospacing="0" w:line="240" w:lineRule="exact"/>
              <w:ind w:left="0" w:right="0" w:firstLine="0" w:firstLineChars="0"/>
              <w:jc w:val="center"/>
              <w:rPr>
                <w:rFonts w:hint="eastAsia" w:ascii="Times New Roman" w:hAnsi="Times New Roman" w:eastAsia="仿宋_GB2312" w:cs="Times New Roman"/>
                <w:kern w:val="0"/>
                <w:sz w:val="18"/>
                <w:szCs w:val="18"/>
                <w:lang w:val="en-US" w:eastAsia="zh-CN" w:bidi="ar-SA"/>
              </w:rPr>
            </w:pPr>
          </w:p>
        </w:tc>
      </w:tr>
    </w:tbl>
    <w:p>
      <w:pPr>
        <w:spacing w:beforeLines="0"/>
        <w:ind w:firstLine="480"/>
      </w:pPr>
    </w:p>
    <w:p>
      <w:pPr>
        <w:spacing w:beforeLines="0"/>
        <w:ind w:firstLine="480"/>
      </w:pPr>
      <w:r>
        <w:t>调查数据结果表明，大多数人认为</w:t>
      </w:r>
      <w:r>
        <w:rPr>
          <w:rFonts w:hint="eastAsia"/>
          <w:lang w:eastAsia="zh-CN"/>
        </w:rPr>
        <w:t>甘孜康定新都桥220kV临时变35kV配套工程</w:t>
      </w:r>
      <w:r>
        <w:t>对于推动当地的经济发展和改善当地居民生活起到了积极的作用，工程建设过程中开挖边坡等扰动地表采取了相应的治理措施，基本能按照水土流失防治要求采取各种水土保持措施，扰动区得到了有效治理。</w:t>
      </w:r>
    </w:p>
    <w:p>
      <w:pPr>
        <w:pStyle w:val="4"/>
        <w:numPr>
          <w:ilvl w:val="2"/>
          <w:numId w:val="0"/>
        </w:numPr>
        <w:spacing w:before="120"/>
      </w:pPr>
      <w:bookmarkStart w:id="168" w:name="_Toc7146"/>
      <w:bookmarkStart w:id="169" w:name="_Toc489977052"/>
      <w:bookmarkStart w:id="170" w:name="_Toc496268096"/>
      <w:bookmarkStart w:id="171" w:name="_Toc4463"/>
      <w:bookmarkStart w:id="172" w:name="_Toc484280834"/>
      <w:bookmarkStart w:id="173" w:name="_Toc28049"/>
      <w:bookmarkStart w:id="174" w:name="_Toc515873352"/>
      <w:r>
        <w:rPr>
          <w:rFonts w:hint="eastAsia"/>
        </w:rPr>
        <w:t xml:space="preserve">5.2.5  </w:t>
      </w:r>
      <w:r>
        <w:t>水土保持效果综合评</w:t>
      </w:r>
      <w:bookmarkEnd w:id="168"/>
      <w:bookmarkEnd w:id="169"/>
      <w:bookmarkEnd w:id="170"/>
      <w:bookmarkEnd w:id="171"/>
      <w:bookmarkEnd w:id="172"/>
      <w:bookmarkEnd w:id="173"/>
      <w:r>
        <w:t>价</w:t>
      </w:r>
      <w:bookmarkEnd w:id="174"/>
    </w:p>
    <w:p>
      <w:pPr>
        <w:spacing w:beforeLines="0"/>
        <w:ind w:firstLine="480"/>
      </w:pPr>
      <w:r>
        <w:t>报告编制组认为，本项目在运行初期，水土流失治理效果较好，能满足水土保持的要求。通过建设单位、施工单位、监理单位等的共同努力，项目区域在扰动土地整治、植被恢复、水土流失控制方面治理成效比较明显，工程具备水土保持设施</w:t>
      </w:r>
      <w:r>
        <w:rPr>
          <w:rFonts w:hint="eastAsia"/>
          <w:lang w:eastAsia="zh-CN"/>
        </w:rPr>
        <w:t>完工</w:t>
      </w:r>
      <w:r>
        <w:t>验收的条件，同意组织本工程的水土保持设施</w:t>
      </w:r>
      <w:r>
        <w:rPr>
          <w:rFonts w:hint="eastAsia"/>
          <w:lang w:eastAsia="zh-CN"/>
        </w:rPr>
        <w:t>完工</w:t>
      </w:r>
      <w:r>
        <w:t>验收。</w:t>
      </w:r>
    </w:p>
    <w:p>
      <w:pPr>
        <w:spacing w:beforeLines="0"/>
        <w:ind w:firstLine="480"/>
      </w:pPr>
      <w:r>
        <w:t>工程水土流失防治指标达标情况详见下表。</w:t>
      </w:r>
    </w:p>
    <w:p>
      <w:pPr>
        <w:pStyle w:val="58"/>
        <w:spacing w:before="120"/>
        <w:rPr>
          <w:color w:val="auto"/>
        </w:rPr>
      </w:pPr>
      <w:r>
        <w:rPr>
          <w:color w:val="auto"/>
        </w:rPr>
        <w:t>水土流失防治指标达标情况统计表</w:t>
      </w:r>
    </w:p>
    <w:p>
      <w:pPr>
        <w:pStyle w:val="13"/>
        <w:keepNext/>
      </w:pPr>
      <w:r>
        <w:t xml:space="preserve">表 </w:t>
      </w:r>
      <w:r>
        <w:rPr>
          <w:rFonts w:hint="eastAsia"/>
        </w:rPr>
        <w:t>5.2</w:t>
      </w:r>
      <w:r>
        <w:noBreakHyphen/>
      </w:r>
      <w:r>
        <w:rPr>
          <w:rFonts w:hint="eastAsia"/>
        </w:rPr>
        <w:t>7</w:t>
      </w:r>
    </w:p>
    <w:tbl>
      <w:tblPr>
        <w:tblStyle w:val="3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2267"/>
        <w:gridCol w:w="1703"/>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280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效益指标</w:t>
            </w:r>
          </w:p>
        </w:tc>
        <w:tc>
          <w:tcPr>
            <w:tcW w:w="2267"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水保方案防治目标</w:t>
            </w:r>
          </w:p>
        </w:tc>
        <w:tc>
          <w:tcPr>
            <w:tcW w:w="170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实际达到指标值</w:t>
            </w:r>
          </w:p>
        </w:tc>
        <w:tc>
          <w:tcPr>
            <w:tcW w:w="1750"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是否达标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0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水土流失总治理度(%)</w:t>
            </w:r>
          </w:p>
        </w:tc>
        <w:tc>
          <w:tcPr>
            <w:tcW w:w="2267"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cs="Times New Roman"/>
                <w:color w:val="auto"/>
                <w:sz w:val="18"/>
              </w:rPr>
            </w:pPr>
            <w:r>
              <w:rPr>
                <w:rFonts w:hint="eastAsia" w:cs="Times New Roman"/>
                <w:color w:val="auto"/>
                <w:sz w:val="18"/>
                <w:lang w:val="en-US" w:eastAsia="zh-CN"/>
              </w:rPr>
              <w:t>85</w:t>
            </w:r>
          </w:p>
        </w:tc>
        <w:tc>
          <w:tcPr>
            <w:tcW w:w="170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rPr>
              <w:t>96</w:t>
            </w:r>
            <w:r>
              <w:rPr>
                <w:rFonts w:cs="Times New Roman"/>
                <w:color w:val="auto"/>
                <w:sz w:val="18"/>
              </w:rPr>
              <w:t>%</w:t>
            </w:r>
          </w:p>
        </w:tc>
        <w:tc>
          <w:tcPr>
            <w:tcW w:w="1750"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0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土壤流失控制比</w:t>
            </w:r>
          </w:p>
        </w:tc>
        <w:tc>
          <w:tcPr>
            <w:tcW w:w="2267"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cs="Times New Roman"/>
                <w:color w:val="auto"/>
                <w:sz w:val="18"/>
              </w:rPr>
            </w:pPr>
            <w:r>
              <w:rPr>
                <w:rFonts w:hint="eastAsia" w:cs="Times New Roman"/>
                <w:color w:val="auto"/>
                <w:sz w:val="18"/>
                <w:lang w:val="en-US" w:eastAsia="zh-CN"/>
              </w:rPr>
              <w:t>1.0</w:t>
            </w:r>
          </w:p>
        </w:tc>
        <w:tc>
          <w:tcPr>
            <w:tcW w:w="170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s="Times New Roman"/>
                <w:color w:val="auto"/>
                <w:sz w:val="18"/>
                <w:lang w:val="en-US" w:eastAsia="zh-CN"/>
              </w:rPr>
            </w:pPr>
            <w:r>
              <w:rPr>
                <w:rFonts w:hint="eastAsia" w:cs="Times New Roman"/>
                <w:color w:val="auto"/>
                <w:sz w:val="18"/>
              </w:rPr>
              <w:t>1.</w:t>
            </w:r>
            <w:r>
              <w:rPr>
                <w:rFonts w:hint="eastAsia" w:cs="Times New Roman"/>
                <w:color w:val="auto"/>
                <w:sz w:val="18"/>
                <w:lang w:val="en-US" w:eastAsia="zh-CN"/>
              </w:rPr>
              <w:t>67</w:t>
            </w:r>
          </w:p>
        </w:tc>
        <w:tc>
          <w:tcPr>
            <w:tcW w:w="1750"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0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rPr>
              <w:t>渣土防护率</w:t>
            </w:r>
            <w:r>
              <w:rPr>
                <w:rFonts w:cs="Times New Roman"/>
                <w:color w:val="auto"/>
                <w:sz w:val="18"/>
              </w:rPr>
              <w:t>(%)</w:t>
            </w:r>
          </w:p>
        </w:tc>
        <w:tc>
          <w:tcPr>
            <w:tcW w:w="2267"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cs="Times New Roman"/>
                <w:color w:val="auto"/>
                <w:sz w:val="18"/>
                <w:lang w:val="en-US"/>
              </w:rPr>
            </w:pPr>
            <w:r>
              <w:rPr>
                <w:rFonts w:hint="eastAsia" w:cs="Times New Roman"/>
                <w:color w:val="auto"/>
                <w:sz w:val="18"/>
                <w:lang w:val="en-US" w:eastAsia="zh-CN"/>
              </w:rPr>
              <w:t>87</w:t>
            </w:r>
          </w:p>
        </w:tc>
        <w:tc>
          <w:tcPr>
            <w:tcW w:w="170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rPr>
              <w:t>9</w:t>
            </w:r>
            <w:r>
              <w:rPr>
                <w:rFonts w:hint="eastAsia" w:cs="Times New Roman"/>
                <w:color w:val="auto"/>
                <w:sz w:val="18"/>
                <w:lang w:val="en-US" w:eastAsia="zh-CN"/>
              </w:rPr>
              <w:t>7.5</w:t>
            </w:r>
            <w:r>
              <w:rPr>
                <w:rFonts w:hint="eastAsia" w:cs="Times New Roman"/>
                <w:color w:val="auto"/>
                <w:sz w:val="18"/>
              </w:rPr>
              <w:t>%</w:t>
            </w:r>
          </w:p>
        </w:tc>
        <w:tc>
          <w:tcPr>
            <w:tcW w:w="1750"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0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rPr>
              <w:t>表土保护率</w:t>
            </w:r>
            <w:r>
              <w:rPr>
                <w:rFonts w:cs="Times New Roman"/>
                <w:color w:val="auto"/>
                <w:sz w:val="18"/>
              </w:rPr>
              <w:t>(%)</w:t>
            </w:r>
          </w:p>
        </w:tc>
        <w:tc>
          <w:tcPr>
            <w:tcW w:w="2267"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cs="Times New Roman"/>
                <w:color w:val="auto"/>
                <w:sz w:val="18"/>
              </w:rPr>
            </w:pPr>
            <w:r>
              <w:rPr>
                <w:rFonts w:hint="eastAsia" w:cs="Times New Roman"/>
                <w:color w:val="auto"/>
                <w:sz w:val="18"/>
                <w:lang w:val="en-US" w:eastAsia="zh-CN"/>
              </w:rPr>
              <w:t>/</w:t>
            </w:r>
          </w:p>
        </w:tc>
        <w:tc>
          <w:tcPr>
            <w:tcW w:w="170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eastAsia="仿宋_GB2312" w:cs="Times New Roman"/>
                <w:color w:val="auto"/>
                <w:sz w:val="18"/>
                <w:lang w:eastAsia="zh-CN"/>
              </w:rPr>
            </w:pPr>
            <w:r>
              <w:rPr>
                <w:rFonts w:hint="eastAsia" w:cs="Times New Roman"/>
                <w:color w:val="auto"/>
                <w:sz w:val="18"/>
                <w:lang w:val="en-US" w:eastAsia="zh-CN"/>
              </w:rPr>
              <w:t>/</w:t>
            </w:r>
          </w:p>
        </w:tc>
        <w:tc>
          <w:tcPr>
            <w:tcW w:w="1750"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default" w:eastAsia="仿宋_GB2312" w:cs="Times New Roman"/>
                <w:color w:val="auto"/>
                <w:sz w:val="18"/>
                <w:lang w:val="en-US" w:eastAsia="zh-CN"/>
              </w:rPr>
            </w:pPr>
            <w:r>
              <w:rPr>
                <w:rFonts w:hint="eastAsia" w:cs="Times New Roman"/>
                <w:color w:val="auto"/>
                <w:sz w:val="18"/>
                <w:lang w:val="en-US" w:eastAsia="zh-CN"/>
              </w:rPr>
              <w:t>不评价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0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林草植被恢复率(%)</w:t>
            </w:r>
          </w:p>
        </w:tc>
        <w:tc>
          <w:tcPr>
            <w:tcW w:w="2267"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cs="Times New Roman"/>
                <w:color w:val="auto"/>
                <w:sz w:val="18"/>
              </w:rPr>
            </w:pPr>
            <w:r>
              <w:rPr>
                <w:rFonts w:hint="eastAsia" w:cs="Times New Roman"/>
                <w:color w:val="auto"/>
                <w:sz w:val="18"/>
                <w:lang w:val="en-US" w:eastAsia="zh-CN"/>
              </w:rPr>
              <w:t>95</w:t>
            </w:r>
          </w:p>
        </w:tc>
        <w:tc>
          <w:tcPr>
            <w:tcW w:w="170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rPr>
              <w:t>9</w:t>
            </w:r>
            <w:r>
              <w:rPr>
                <w:rFonts w:hint="eastAsia" w:cs="Times New Roman"/>
                <w:color w:val="auto"/>
                <w:sz w:val="18"/>
                <w:lang w:val="en-US" w:eastAsia="zh-CN"/>
              </w:rPr>
              <w:t>6.8</w:t>
            </w:r>
            <w:r>
              <w:rPr>
                <w:rFonts w:cs="Times New Roman"/>
                <w:color w:val="auto"/>
                <w:sz w:val="18"/>
              </w:rPr>
              <w:t>%</w:t>
            </w:r>
          </w:p>
        </w:tc>
        <w:tc>
          <w:tcPr>
            <w:tcW w:w="1750"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802"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林草覆盖率(%)</w:t>
            </w:r>
          </w:p>
        </w:tc>
        <w:tc>
          <w:tcPr>
            <w:tcW w:w="2267"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hint="eastAsia" w:cs="Times New Roman"/>
                <w:color w:val="auto"/>
                <w:sz w:val="18"/>
              </w:rPr>
            </w:pPr>
            <w:r>
              <w:rPr>
                <w:rFonts w:hint="eastAsia" w:cs="Times New Roman"/>
                <w:color w:val="auto"/>
                <w:sz w:val="18"/>
                <w:lang w:val="en-US" w:eastAsia="zh-CN"/>
              </w:rPr>
              <w:t>9</w:t>
            </w:r>
          </w:p>
        </w:tc>
        <w:tc>
          <w:tcPr>
            <w:tcW w:w="1703"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hint="eastAsia" w:cs="Times New Roman"/>
                <w:color w:val="auto"/>
                <w:sz w:val="18"/>
                <w:lang w:val="en-US" w:eastAsia="zh-CN"/>
              </w:rPr>
              <w:t>12</w:t>
            </w:r>
            <w:r>
              <w:rPr>
                <w:rFonts w:cs="Times New Roman"/>
                <w:color w:val="auto"/>
                <w:sz w:val="18"/>
              </w:rPr>
              <w:t>%</w:t>
            </w:r>
          </w:p>
        </w:tc>
        <w:tc>
          <w:tcPr>
            <w:tcW w:w="1750" w:type="dxa"/>
            <w:tcBorders>
              <w:tl2br w:val="nil"/>
              <w:tr2bl w:val="nil"/>
            </w:tcBorders>
            <w:shd w:val="clear" w:color="auto" w:fill="auto"/>
            <w:vAlign w:val="center"/>
          </w:tcPr>
          <w:p>
            <w:pPr>
              <w:pStyle w:val="53"/>
              <w:keepNext w:val="0"/>
              <w:keepLines w:val="0"/>
              <w:widowControl/>
              <w:suppressLineNumbers w:val="0"/>
              <w:spacing w:before="0" w:beforeAutospacing="0" w:after="0" w:afterAutospacing="0"/>
              <w:ind w:left="0" w:right="0"/>
              <w:rPr>
                <w:rFonts w:cs="Times New Roman"/>
                <w:color w:val="auto"/>
                <w:sz w:val="18"/>
              </w:rPr>
            </w:pPr>
            <w:r>
              <w:rPr>
                <w:rFonts w:cs="Times New Roman"/>
                <w:color w:val="auto"/>
                <w:sz w:val="18"/>
              </w:rPr>
              <w:t>达标</w:t>
            </w:r>
          </w:p>
        </w:tc>
      </w:tr>
    </w:tbl>
    <w:p>
      <w:pPr>
        <w:spacing w:before="120"/>
        <w:ind w:firstLine="480"/>
        <w:jc w:val="left"/>
        <w:sectPr>
          <w:headerReference r:id="rId26" w:type="default"/>
          <w:pgSz w:w="11906" w:h="16838"/>
          <w:pgMar w:top="1440" w:right="1800" w:bottom="1440" w:left="1800" w:header="708" w:footer="708" w:gutter="0"/>
          <w:pgBorders>
            <w:top w:val="none" w:sz="0" w:space="0"/>
            <w:left w:val="none" w:sz="0" w:space="0"/>
            <w:bottom w:val="none" w:sz="0" w:space="0"/>
            <w:right w:val="none" w:sz="0" w:space="0"/>
          </w:pgBorders>
          <w:pgNumType w:fmt="numberInDash"/>
          <w:cols w:space="708" w:num="1"/>
          <w:docGrid w:linePitch="381" w:charSpace="0"/>
        </w:sectPr>
      </w:pPr>
    </w:p>
    <w:p>
      <w:pPr>
        <w:pStyle w:val="3"/>
      </w:pPr>
      <w:bookmarkStart w:id="175" w:name="_Toc4952"/>
      <w:bookmarkStart w:id="176" w:name="_Toc515873353"/>
      <w:r>
        <w:t>水土保持管理</w:t>
      </w:r>
      <w:bookmarkEnd w:id="175"/>
      <w:bookmarkEnd w:id="176"/>
    </w:p>
    <w:p>
      <w:pPr>
        <w:pStyle w:val="2"/>
        <w:spacing w:before="120" w:after="120"/>
        <w:ind w:firstLine="0" w:firstLineChars="0"/>
        <w:rPr>
          <w:b/>
          <w:bCs/>
        </w:rPr>
      </w:pPr>
      <w:bookmarkStart w:id="177" w:name="_Toc515873354"/>
      <w:bookmarkStart w:id="178" w:name="_Toc4207"/>
      <w:r>
        <w:rPr>
          <w:rFonts w:hint="eastAsia"/>
          <w:b/>
          <w:bCs/>
        </w:rPr>
        <w:t xml:space="preserve">6.1  </w:t>
      </w:r>
      <w:r>
        <w:rPr>
          <w:b/>
          <w:bCs/>
        </w:rPr>
        <w:t>组织领导</w:t>
      </w:r>
      <w:bookmarkEnd w:id="177"/>
      <w:bookmarkEnd w:id="178"/>
    </w:p>
    <w:p>
      <w:pPr>
        <w:spacing w:before="120"/>
        <w:ind w:firstLine="480"/>
      </w:pPr>
      <w:r>
        <w:t>为适应本工程建设对水土保持的需要，建设单位建立了水土保持管理体制。承担工程建设的监理和施工单位也都有相应的部门负责各项水保工程的具体落实。为了作好施工区水保工作，监理和施工单位也建立了水保管理体系，配备了水保专兼职管理人员，专门负责承包合同项目中的水保工程建设和管理工作。</w:t>
      </w:r>
    </w:p>
    <w:p>
      <w:pPr>
        <w:spacing w:before="120"/>
        <w:ind w:firstLine="480"/>
      </w:pPr>
      <w:r>
        <w:t>本工程按照项目法人制组织建设，项目管理机构如下：</w:t>
      </w:r>
    </w:p>
    <w:p>
      <w:pPr>
        <w:spacing w:before="120"/>
        <w:ind w:firstLine="480"/>
      </w:pPr>
      <w:r>
        <w:t>工程建设单位为国网四川省电力公司</w:t>
      </w:r>
      <w:r>
        <w:rPr>
          <w:rFonts w:hint="eastAsia"/>
        </w:rPr>
        <w:t>甘孜供电公司</w:t>
      </w:r>
      <w:r>
        <w:t>；</w:t>
      </w:r>
    </w:p>
    <w:p>
      <w:pPr>
        <w:spacing w:before="120"/>
        <w:ind w:firstLine="480"/>
      </w:pPr>
      <w:r>
        <w:t>水土保持方案编制单位为</w:t>
      </w:r>
      <w:r>
        <w:rPr>
          <w:rFonts w:hint="eastAsia"/>
          <w:lang w:eastAsia="zh-CN"/>
        </w:rPr>
        <w:t>浙江中水工程技术有限公司</w:t>
      </w:r>
      <w:r>
        <w:t>；</w:t>
      </w:r>
    </w:p>
    <w:p>
      <w:pPr>
        <w:spacing w:before="120"/>
        <w:ind w:firstLine="480"/>
      </w:pPr>
      <w:r>
        <w:t>主体工程监理单位为</w:t>
      </w:r>
      <w:r>
        <w:rPr>
          <w:rFonts w:hint="eastAsia"/>
          <w:lang w:eastAsia="zh-CN"/>
        </w:rPr>
        <w:t>四川东祥工程项目管理有限责任公司</w:t>
      </w:r>
      <w:r>
        <w:t>；</w:t>
      </w:r>
    </w:p>
    <w:p>
      <w:pPr>
        <w:spacing w:before="120"/>
        <w:ind w:firstLine="480"/>
      </w:pPr>
      <w:r>
        <w:t>水土保持设施验收报告编制单位为</w:t>
      </w:r>
      <w:r>
        <w:rPr>
          <w:rFonts w:hint="eastAsia"/>
          <w:bCs/>
        </w:rPr>
        <w:t>成都浚川工程设计咨询有限公司</w:t>
      </w:r>
      <w:r>
        <w:t>；</w:t>
      </w:r>
    </w:p>
    <w:p>
      <w:pPr>
        <w:spacing w:before="120"/>
        <w:ind w:firstLine="480"/>
      </w:pPr>
      <w:r>
        <w:t>施工单位为</w:t>
      </w:r>
      <w:r>
        <w:rPr>
          <w:rFonts w:hint="eastAsia"/>
          <w:lang w:eastAsia="zh-CN"/>
        </w:rPr>
        <w:t>四川蜀能电力有限公司</w:t>
      </w:r>
      <w:r>
        <w:t>。</w:t>
      </w:r>
    </w:p>
    <w:p>
      <w:pPr>
        <w:spacing w:before="120"/>
        <w:ind w:firstLine="480"/>
      </w:pPr>
      <w:r>
        <w:t>各单位各</w:t>
      </w:r>
      <w:r>
        <w:rPr>
          <w:rFonts w:hint="eastAsia"/>
        </w:rPr>
        <w:t>司</w:t>
      </w:r>
      <w:r>
        <w:t>其职，密切配合，以各自运转有效的管理体系来确保工程的有效管理。</w:t>
      </w:r>
    </w:p>
    <w:p>
      <w:pPr>
        <w:pStyle w:val="2"/>
        <w:spacing w:before="120" w:after="120"/>
        <w:ind w:firstLine="0" w:firstLineChars="0"/>
        <w:rPr>
          <w:b/>
          <w:bCs/>
        </w:rPr>
      </w:pPr>
      <w:bookmarkStart w:id="179" w:name="_Toc515873355"/>
      <w:bookmarkStart w:id="180" w:name="_Toc21457"/>
      <w:bookmarkStart w:id="181" w:name="_Toc496281230"/>
      <w:r>
        <w:rPr>
          <w:rFonts w:hint="eastAsia"/>
          <w:b/>
          <w:bCs/>
        </w:rPr>
        <w:t xml:space="preserve">6.2  </w:t>
      </w:r>
      <w:r>
        <w:rPr>
          <w:b/>
          <w:bCs/>
        </w:rPr>
        <w:t>规章制度</w:t>
      </w:r>
      <w:bookmarkEnd w:id="179"/>
      <w:bookmarkEnd w:id="180"/>
      <w:bookmarkEnd w:id="181"/>
    </w:p>
    <w:p>
      <w:pPr>
        <w:pStyle w:val="4"/>
        <w:numPr>
          <w:ilvl w:val="2"/>
          <w:numId w:val="0"/>
        </w:numPr>
        <w:spacing w:before="120"/>
      </w:pPr>
      <w:bookmarkStart w:id="182" w:name="_Toc496281231"/>
      <w:bookmarkStart w:id="183" w:name="_Toc515873356"/>
      <w:r>
        <w:rPr>
          <w:rFonts w:hint="eastAsia"/>
        </w:rPr>
        <w:t xml:space="preserve">6.2.1  </w:t>
      </w:r>
      <w:r>
        <w:t>管理制度</w:t>
      </w:r>
      <w:bookmarkEnd w:id="182"/>
      <w:bookmarkEnd w:id="183"/>
    </w:p>
    <w:p>
      <w:pPr>
        <w:spacing w:before="120"/>
        <w:ind w:firstLine="480"/>
      </w:pPr>
      <w:r>
        <w:t>自工程建设以来，以国家法律法规为依据，建设单位制定各项管理、考核办法、细则等多项，健全了水土保持工作的管理体系，规范了施工单位的施工行为，确保各项水土保持措施按照“三同时”制度落实。</w:t>
      </w:r>
    </w:p>
    <w:p>
      <w:pPr>
        <w:pStyle w:val="4"/>
        <w:numPr>
          <w:ilvl w:val="2"/>
          <w:numId w:val="0"/>
        </w:numPr>
        <w:spacing w:before="120"/>
      </w:pPr>
      <w:bookmarkStart w:id="184" w:name="_Toc515873357"/>
      <w:bookmarkStart w:id="185" w:name="_Toc496281232"/>
      <w:r>
        <w:rPr>
          <w:rFonts w:hint="eastAsia"/>
        </w:rPr>
        <w:t xml:space="preserve">6.2.2  </w:t>
      </w:r>
      <w:r>
        <w:t>开展水土保持工作考核</w:t>
      </w:r>
      <w:bookmarkEnd w:id="184"/>
      <w:bookmarkEnd w:id="185"/>
    </w:p>
    <w:p>
      <w:pPr>
        <w:spacing w:before="120"/>
        <w:ind w:firstLine="480"/>
      </w:pPr>
      <w:r>
        <w:t>为更好地落实施工区水土保持措施，提高各参建单位水土保持工作的积极性，建设单位制定了《环境保护工作考核办法（试行）》，设立环境保护和水土保持奖金，按照施工单位环境保护和水土保持工作的优差情况按比率发放，以奖代罚，调动施工单位的积极性。</w:t>
      </w:r>
    </w:p>
    <w:p>
      <w:pPr>
        <w:spacing w:before="120"/>
        <w:ind w:firstLine="480"/>
      </w:pPr>
      <w:r>
        <w:t>依据公司制定的环境保护考核办法，分别制定了奖励办法、考核办法等。</w:t>
      </w:r>
    </w:p>
    <w:p>
      <w:pPr>
        <w:spacing w:before="120"/>
        <w:ind w:firstLine="480"/>
      </w:pPr>
      <w:r>
        <w:t>考核工作程序：每半月由主管工程项目部组织监理、技术管理部到施工现场对环保水保措施实施情况进行现场打分；季度末对半月考核结果进行综合评分。根据考核评分结果，发放环境保护考核奖金。</w:t>
      </w:r>
    </w:p>
    <w:p>
      <w:pPr>
        <w:pStyle w:val="4"/>
        <w:numPr>
          <w:ilvl w:val="2"/>
          <w:numId w:val="0"/>
        </w:numPr>
        <w:spacing w:before="120"/>
      </w:pPr>
      <w:bookmarkStart w:id="186" w:name="_Toc515873358"/>
      <w:bookmarkStart w:id="187" w:name="_Toc496281233"/>
      <w:r>
        <w:rPr>
          <w:rFonts w:hint="eastAsia"/>
        </w:rPr>
        <w:t xml:space="preserve">6.2.3  </w:t>
      </w:r>
      <w:r>
        <w:t>水土保持工程进度管理</w:t>
      </w:r>
      <w:bookmarkEnd w:id="186"/>
      <w:bookmarkEnd w:id="187"/>
    </w:p>
    <w:p>
      <w:pPr>
        <w:spacing w:before="120"/>
        <w:ind w:firstLine="480"/>
      </w:pPr>
      <w:r>
        <w:t>为及时掌握水土保持工程建设情况，提高施工单位水土保持意识，建设单位要求各施工单位每月上报上月水土保持工程实施情况。随后，根据各单位填报情况结合新需要对该办法进行了完善。</w:t>
      </w:r>
    </w:p>
    <w:p>
      <w:pPr>
        <w:pStyle w:val="4"/>
        <w:numPr>
          <w:ilvl w:val="2"/>
          <w:numId w:val="0"/>
        </w:numPr>
        <w:spacing w:before="120"/>
      </w:pPr>
      <w:bookmarkStart w:id="188" w:name="_Toc515873359"/>
      <w:bookmarkStart w:id="189" w:name="_Toc496281234"/>
      <w:r>
        <w:rPr>
          <w:rFonts w:hint="eastAsia"/>
        </w:rPr>
        <w:t xml:space="preserve">6.2.4  </w:t>
      </w:r>
      <w:r>
        <w:t>合同项目水土保持工程</w:t>
      </w:r>
      <w:r>
        <w:rPr>
          <w:rFonts w:hint="eastAsia"/>
          <w:lang w:eastAsia="zh-CN"/>
        </w:rPr>
        <w:t>完工</w:t>
      </w:r>
      <w:r>
        <w:t>验收</w:t>
      </w:r>
      <w:bookmarkEnd w:id="188"/>
      <w:bookmarkEnd w:id="189"/>
    </w:p>
    <w:p>
      <w:pPr>
        <w:spacing w:before="120"/>
        <w:ind w:firstLine="480"/>
      </w:pPr>
      <w:r>
        <w:t>水土保持</w:t>
      </w:r>
      <w:r>
        <w:rPr>
          <w:rFonts w:hint="eastAsia"/>
          <w:lang w:eastAsia="zh-CN"/>
        </w:rPr>
        <w:t>完工</w:t>
      </w:r>
      <w:r>
        <w:t>验收采用过程控制和事后检查相结合的工作方法。对合同项目中水土保持工程施工过程进行巡视，检查水土保持工程实施情况，检查水土保持措施是否存在缺陷，能否发挥正常功能。工程完工后听取施工单位、监理单位的汇报，审查施工单位、监理单位编写的施工报告、监理报告，了解施工过程中水土保持工程质量、进度、投资的控制，审查施工单位编制的水土保持</w:t>
      </w:r>
      <w:r>
        <w:rPr>
          <w:rFonts w:hint="eastAsia"/>
          <w:lang w:eastAsia="zh-CN"/>
        </w:rPr>
        <w:t>完工</w:t>
      </w:r>
      <w:r>
        <w:t>验收报告，出具合同项目</w:t>
      </w:r>
      <w:r>
        <w:rPr>
          <w:rFonts w:hint="eastAsia"/>
          <w:lang w:eastAsia="zh-CN"/>
        </w:rPr>
        <w:t>完工</w:t>
      </w:r>
      <w:r>
        <w:t>水土保持意见书，从水土保持角度进行把关。完工合同项目中水土保持措施移交后，对其运行进行管理。</w:t>
      </w:r>
    </w:p>
    <w:p>
      <w:pPr>
        <w:pStyle w:val="4"/>
        <w:numPr>
          <w:ilvl w:val="2"/>
          <w:numId w:val="0"/>
        </w:numPr>
        <w:spacing w:before="120"/>
      </w:pPr>
      <w:bookmarkStart w:id="190" w:name="_Toc515873360"/>
      <w:bookmarkStart w:id="191" w:name="_Toc496281235"/>
      <w:r>
        <w:rPr>
          <w:rFonts w:hint="eastAsia"/>
        </w:rPr>
        <w:t xml:space="preserve">6.2.5  </w:t>
      </w:r>
      <w:r>
        <w:t>水土保持例会制度</w:t>
      </w:r>
      <w:bookmarkEnd w:id="190"/>
      <w:bookmarkEnd w:id="191"/>
    </w:p>
    <w:p>
      <w:pPr>
        <w:spacing w:before="120"/>
        <w:ind w:firstLine="480"/>
      </w:pPr>
      <w:r>
        <w:t>为了更好地贯彻落实本工程建设各项环保水保措施，自工程施工期开始每月定期组织施工、监理单位召开环保、水保工作例会，及时解决环保、水保工作中出现的各种问题，提高施工区环境管理效率，并通报和部署环保、水保工作。</w:t>
      </w:r>
    </w:p>
    <w:p>
      <w:pPr>
        <w:spacing w:before="120"/>
        <w:ind w:firstLine="480"/>
      </w:pPr>
      <w:r>
        <w:t>对于在施工期间出现的各种环保、水保难题，不定期组织相关参建单位召开专题会议解决。</w:t>
      </w:r>
    </w:p>
    <w:p>
      <w:pPr>
        <w:pStyle w:val="2"/>
        <w:spacing w:before="120" w:after="120"/>
        <w:ind w:firstLine="0" w:firstLineChars="0"/>
        <w:rPr>
          <w:b/>
          <w:bCs/>
        </w:rPr>
      </w:pPr>
      <w:bookmarkStart w:id="192" w:name="_Toc11749"/>
      <w:bookmarkStart w:id="193" w:name="_Toc515873361"/>
      <w:r>
        <w:rPr>
          <w:rFonts w:hint="eastAsia"/>
          <w:b/>
          <w:bCs/>
        </w:rPr>
        <w:t xml:space="preserve">6.3  </w:t>
      </w:r>
      <w:r>
        <w:rPr>
          <w:b/>
          <w:bCs/>
        </w:rPr>
        <w:t>建设管理</w:t>
      </w:r>
      <w:bookmarkEnd w:id="192"/>
      <w:bookmarkEnd w:id="193"/>
    </w:p>
    <w:p>
      <w:pPr>
        <w:spacing w:before="120"/>
        <w:ind w:firstLine="480"/>
      </w:pPr>
      <w:r>
        <w:t>建设单位在本项目水土保持工程施工过程中，严格实行项目法人制、招投标制、建设监理制和合同管理制，分别与各参建单位签订了合同。</w:t>
      </w:r>
    </w:p>
    <w:p>
      <w:pPr>
        <w:spacing w:before="120"/>
        <w:ind w:firstLine="480"/>
      </w:pPr>
      <w:r>
        <w:t>建设单位将本项目水保工程建设和管理纳入整个工程建设管理体系实行统一管理，把水保报告</w:t>
      </w:r>
      <w:r>
        <w:rPr>
          <w:rFonts w:hint="eastAsia"/>
        </w:rPr>
        <w:t>表</w:t>
      </w:r>
      <w:r>
        <w:t>中有关水保措施纳入招标文件，分解到各个单项工程，列入合同总价与工程建设同步实施，从而为工程施工过程中，严格按照“三同时”原则，落实批复的水土保持方案报告表中的措施打下了基础，从源头上对可能发生的水土流失进行控制。</w:t>
      </w:r>
    </w:p>
    <w:p>
      <w:pPr>
        <w:spacing w:before="120"/>
        <w:ind w:firstLine="480"/>
      </w:pPr>
      <w:r>
        <w:rPr>
          <w:rFonts w:hint="eastAsia"/>
          <w:lang w:eastAsia="zh-CN"/>
        </w:rPr>
        <w:t>四川东祥工程项目管理有限责任公司</w:t>
      </w:r>
      <w:r>
        <w:t>对合同项目中的水土保持工程建设实施全过程监理。水土保持监理工作程序为：</w:t>
      </w:r>
    </w:p>
    <w:p>
      <w:pPr>
        <w:spacing w:before="120"/>
        <w:ind w:firstLine="480"/>
      </w:pPr>
      <w:r>
        <w:t>(1) 编制水土保持监理规划。</w:t>
      </w:r>
    </w:p>
    <w:p>
      <w:pPr>
        <w:spacing w:before="120"/>
        <w:ind w:firstLine="480"/>
      </w:pPr>
      <w:r>
        <w:t>(2) 编制水土保持监理实施细则。</w:t>
      </w:r>
    </w:p>
    <w:p>
      <w:pPr>
        <w:spacing w:before="120"/>
        <w:ind w:firstLine="480"/>
      </w:pPr>
      <w:r>
        <w:t>(3) 按照水土保持监理实施细则实施监理，督促承建单位严格按照批复的水保方案编制详细的施工组织设计或施工方案，并提交监理审查。经审查合格后，准许开工。</w:t>
      </w:r>
    </w:p>
    <w:p>
      <w:pPr>
        <w:spacing w:before="120"/>
        <w:ind w:firstLine="480"/>
      </w:pPr>
      <w:r>
        <w:t>(4) 在施工过程中，监督承建单位严格按照“先挡后弃、先排水后回填”的程序执行。</w:t>
      </w:r>
    </w:p>
    <w:p>
      <w:pPr>
        <w:spacing w:before="120"/>
        <w:ind w:firstLine="480"/>
      </w:pPr>
      <w:r>
        <w:t>(5) 水土保持分项工程完工以后，及时组织该分项或分部工程的交工（完工）验收，并移交档案资料。</w:t>
      </w:r>
    </w:p>
    <w:p>
      <w:pPr>
        <w:pStyle w:val="2"/>
        <w:spacing w:before="120" w:after="120"/>
        <w:ind w:firstLine="0" w:firstLineChars="0"/>
        <w:rPr>
          <w:b/>
          <w:bCs/>
        </w:rPr>
      </w:pPr>
      <w:bookmarkStart w:id="194" w:name="_Toc30316"/>
      <w:r>
        <w:rPr>
          <w:rFonts w:hint="eastAsia"/>
          <w:b/>
          <w:bCs/>
        </w:rPr>
        <w:t xml:space="preserve">6.4  </w:t>
      </w:r>
      <w:r>
        <w:rPr>
          <w:b/>
          <w:bCs/>
        </w:rPr>
        <w:t>水土保持监测</w:t>
      </w:r>
      <w:bookmarkEnd w:id="194"/>
    </w:p>
    <w:p>
      <w:pPr>
        <w:pStyle w:val="4"/>
        <w:numPr>
          <w:ilvl w:val="2"/>
          <w:numId w:val="0"/>
        </w:numPr>
        <w:spacing w:before="120"/>
      </w:pPr>
      <w:r>
        <w:rPr>
          <w:rFonts w:hint="eastAsia"/>
        </w:rPr>
        <w:t xml:space="preserve">6.4.1  </w:t>
      </w:r>
      <w:r>
        <w:t>水土保持监测过程</w:t>
      </w:r>
    </w:p>
    <w:p>
      <w:pPr>
        <w:spacing w:before="120"/>
        <w:ind w:firstLine="480"/>
      </w:pPr>
      <w:r>
        <w:t>建设单位在项目建设过程中，虽然未委托具有监测</w:t>
      </w:r>
      <w:r>
        <w:rPr>
          <w:rFonts w:hint="eastAsia"/>
        </w:rPr>
        <w:t>技术能力</w:t>
      </w:r>
      <w:r>
        <w:t>的单位对本项目水土流失进行监测，但建设单位将本项目水保工程建设和管理纳入整个工程建设管理体系实行统一管理，成立了项目水土保持工作领导小组：分管副总任组长，施工指挥部分管领导、总工，设计单位代表、监理等相关人员为组员。领导小组定期或不定期对建设现场进行监督检查、现场调查监测等，工程在建设过程中，未发生较大的水土流失。</w:t>
      </w:r>
    </w:p>
    <w:p>
      <w:pPr>
        <w:pStyle w:val="4"/>
        <w:numPr>
          <w:ilvl w:val="2"/>
          <w:numId w:val="0"/>
        </w:numPr>
        <w:spacing w:before="120"/>
      </w:pPr>
      <w:r>
        <w:rPr>
          <w:rFonts w:hint="eastAsia"/>
        </w:rPr>
        <w:t xml:space="preserve">6.4.2  </w:t>
      </w:r>
      <w:r>
        <w:t>水土保持监测评价</w:t>
      </w:r>
    </w:p>
    <w:p>
      <w:pPr>
        <w:spacing w:before="120"/>
        <w:ind w:firstLine="480"/>
      </w:pPr>
      <w:r>
        <w:t>报告编制组认为，工程建设单位按照</w:t>
      </w:r>
      <w:r>
        <w:rPr>
          <w:rFonts w:hint="eastAsia"/>
          <w:lang w:val="en-US" w:eastAsia="zh-CN"/>
        </w:rPr>
        <w:t>康定市</w:t>
      </w:r>
      <w:r>
        <w:rPr>
          <w:rFonts w:hint="eastAsia"/>
        </w:rPr>
        <w:t>水利</w:t>
      </w:r>
      <w:r>
        <w:t>局</w:t>
      </w:r>
      <w:r>
        <w:rPr>
          <w:rFonts w:hint="eastAsia"/>
          <w:lang w:val="en-US" w:eastAsia="zh-CN"/>
        </w:rPr>
        <w:t>行政许可</w:t>
      </w:r>
      <w:r>
        <w:t>要求，在工程建设期</w:t>
      </w:r>
      <w:r>
        <w:rPr>
          <w:rFonts w:hint="eastAsia"/>
        </w:rPr>
        <w:t>自行</w:t>
      </w:r>
      <w:r>
        <w:t>开展水土保持监测工作，从业主提供的建设期照片可得知：工程建设中各施工区采取了排水设施等措施，将工程建设产生的土石基本拦住，防止其再次流失；后期采取植物措施后，有效地控制了松散土的流失。随着植被发育及覆盖度的提高，施工扰动地表将得到有效保护，而且在投入运行后不再产生扰动地表活动。通过采取各项水土保持措施，使原有的水土流失状况得到基本治理，使新增水土流失得到有效控制，尤其是水土流失防治措施实施后的水土流失量比施工阶段明显减少，保证了工程的正常运行，创造了良好的生态环境，实现了区域生态经济的可持续发展。</w:t>
      </w:r>
    </w:p>
    <w:p>
      <w:pPr>
        <w:pStyle w:val="2"/>
        <w:spacing w:before="120" w:after="120"/>
        <w:ind w:firstLine="0" w:firstLineChars="0"/>
        <w:rPr>
          <w:b/>
          <w:bCs/>
        </w:rPr>
      </w:pPr>
      <w:bookmarkStart w:id="195" w:name="_Toc515873365"/>
      <w:bookmarkStart w:id="196" w:name="_Toc3650"/>
      <w:r>
        <w:rPr>
          <w:rFonts w:hint="eastAsia"/>
          <w:b/>
          <w:bCs/>
        </w:rPr>
        <w:t xml:space="preserve">6.5  </w:t>
      </w:r>
      <w:r>
        <w:rPr>
          <w:b/>
          <w:bCs/>
        </w:rPr>
        <w:t>水土保持监理</w:t>
      </w:r>
      <w:bookmarkEnd w:id="195"/>
      <w:bookmarkEnd w:id="196"/>
    </w:p>
    <w:p>
      <w:pPr>
        <w:pStyle w:val="4"/>
        <w:numPr>
          <w:ilvl w:val="2"/>
          <w:numId w:val="0"/>
        </w:numPr>
        <w:spacing w:before="120"/>
      </w:pPr>
      <w:bookmarkStart w:id="197" w:name="_Toc24644"/>
      <w:bookmarkStart w:id="198" w:name="_Toc484280820"/>
      <w:bookmarkStart w:id="199" w:name="_Toc21634"/>
      <w:bookmarkStart w:id="200" w:name="_Toc21354"/>
      <w:bookmarkStart w:id="201" w:name="_Toc515873366"/>
      <w:bookmarkStart w:id="202" w:name="_Toc496268081"/>
      <w:bookmarkStart w:id="203" w:name="_Toc489977037"/>
      <w:r>
        <w:rPr>
          <w:rFonts w:hint="eastAsia"/>
        </w:rPr>
        <w:t xml:space="preserve">6.5.1  </w:t>
      </w:r>
      <w:r>
        <w:t>监理内容评估</w:t>
      </w:r>
      <w:bookmarkEnd w:id="197"/>
      <w:bookmarkEnd w:id="198"/>
      <w:bookmarkEnd w:id="199"/>
      <w:bookmarkEnd w:id="200"/>
      <w:bookmarkEnd w:id="201"/>
      <w:bookmarkEnd w:id="202"/>
      <w:bookmarkEnd w:id="203"/>
    </w:p>
    <w:p>
      <w:pPr>
        <w:spacing w:before="120"/>
        <w:ind w:firstLine="480"/>
      </w:pPr>
      <w:r>
        <w:t>（1）监理机构</w:t>
      </w:r>
    </w:p>
    <w:p>
      <w:pPr>
        <w:spacing w:before="120"/>
        <w:ind w:firstLine="480"/>
      </w:pPr>
      <w:r>
        <w:t>2019年</w:t>
      </w:r>
      <w:r>
        <w:rPr>
          <w:rFonts w:hint="eastAsia"/>
          <w:lang w:val="en-US" w:eastAsia="zh-CN"/>
        </w:rPr>
        <w:t>9</w:t>
      </w:r>
      <w:r>
        <w:t>月，国网四川省电力公司</w:t>
      </w:r>
      <w:r>
        <w:rPr>
          <w:rFonts w:hint="eastAsia"/>
        </w:rPr>
        <w:t>甘孜供电公司</w:t>
      </w:r>
      <w:r>
        <w:t>委托</w:t>
      </w:r>
      <w:r>
        <w:rPr>
          <w:rFonts w:hint="eastAsia"/>
          <w:lang w:eastAsia="zh-CN"/>
        </w:rPr>
        <w:t>四川东祥工程项目管理有限责任公司</w:t>
      </w:r>
      <w:r>
        <w:t>对</w:t>
      </w:r>
      <w:r>
        <w:rPr>
          <w:rFonts w:hint="eastAsia"/>
          <w:lang w:eastAsia="zh-CN"/>
        </w:rPr>
        <w:t>甘孜康定新都桥220kV临时变35kV配套工程</w:t>
      </w:r>
      <w:r>
        <w:t>建设期间的土建工程进行监理。</w:t>
      </w:r>
      <w:r>
        <w:rPr>
          <w:snapToGrid w:val="0"/>
        </w:rPr>
        <w:t>由于《水土保持方案报告表》中本项目工程水土保持措施总投资小于3000万，按照《关于加强大中型开发建设项目水土保持监理工作的通知》（水保〔2003〕89号）等相关规定及要求，本项目</w:t>
      </w:r>
      <w:r>
        <w:rPr>
          <w:rFonts w:hint="eastAsia"/>
          <w:snapToGrid w:val="0"/>
        </w:rPr>
        <w:t>可以</w:t>
      </w:r>
      <w:r>
        <w:rPr>
          <w:snapToGrid w:val="0"/>
        </w:rPr>
        <w:t>由主体工程监理单位将水土保持监理工作纳入主体工程监理中。</w:t>
      </w:r>
    </w:p>
    <w:p>
      <w:pPr>
        <w:spacing w:before="120"/>
        <w:ind w:firstLine="480"/>
      </w:pPr>
      <w:r>
        <w:rPr>
          <w:snapToGrid w:val="0"/>
        </w:rPr>
        <w:t>监理单位正式进场时间为2019年</w:t>
      </w:r>
      <w:r>
        <w:rPr>
          <w:rFonts w:hint="eastAsia"/>
          <w:snapToGrid w:val="0"/>
          <w:lang w:val="en-US" w:eastAsia="zh-CN"/>
        </w:rPr>
        <w:t>9</w:t>
      </w:r>
      <w:r>
        <w:rPr>
          <w:snapToGrid w:val="0"/>
        </w:rPr>
        <w:t>月</w:t>
      </w:r>
      <w:r>
        <w:rPr>
          <w:rFonts w:hint="eastAsia"/>
          <w:snapToGrid w:val="0"/>
          <w:lang w:val="en-US" w:eastAsia="zh-CN"/>
        </w:rPr>
        <w:t>底</w:t>
      </w:r>
      <w:r>
        <w:rPr>
          <w:snapToGrid w:val="0"/>
        </w:rPr>
        <w:t>，</w:t>
      </w:r>
      <w:r>
        <w:t>项目监理实行总监理工程师负责制，在总监理工程师的主持下，按照专业进行监理和管理。总监理工程师是履行本项目监理合同的全权负责人，组织和领导本项目监理工作，完成监理合同所规定的监理方全部责任。项目监理部自进场以来，根据监理合同规定成立了监理组织机构，相应配备了能满足合同和工程需要的监理工程师和现场监理员。</w:t>
      </w:r>
    </w:p>
    <w:p>
      <w:pPr>
        <w:spacing w:before="120"/>
        <w:ind w:firstLine="480"/>
      </w:pPr>
      <w:r>
        <w:t>（2）监理过程</w:t>
      </w:r>
    </w:p>
    <w:p>
      <w:pPr>
        <w:spacing w:before="120"/>
        <w:ind w:firstLine="480"/>
      </w:pPr>
      <w:r>
        <w:t>2019年</w:t>
      </w:r>
      <w:r>
        <w:rPr>
          <w:rFonts w:hint="eastAsia"/>
          <w:lang w:val="en-US" w:eastAsia="zh-CN"/>
        </w:rPr>
        <w:t>10</w:t>
      </w:r>
      <w:r>
        <w:t>月</w:t>
      </w:r>
      <w:r>
        <w:rPr>
          <w:rFonts w:hint="eastAsia"/>
          <w:lang w:val="en-US" w:eastAsia="zh-CN"/>
        </w:rPr>
        <w:t>9</w:t>
      </w:r>
      <w:r>
        <w:t>日开始，监理单位</w:t>
      </w:r>
      <w:r>
        <w:rPr>
          <w:rFonts w:hint="eastAsia"/>
          <w:lang w:eastAsia="zh-CN"/>
        </w:rPr>
        <w:t>四川东祥工程项目管理有限责任公司</w:t>
      </w:r>
      <w:r>
        <w:t>对</w:t>
      </w:r>
      <w:r>
        <w:rPr>
          <w:rFonts w:hint="eastAsia"/>
          <w:lang w:eastAsia="zh-CN"/>
        </w:rPr>
        <w:t>甘孜康定新都桥220kV临时变35kV配套工程</w:t>
      </w:r>
      <w:r>
        <w:t>施工期进行监理，并负责该项目施工期的水土保持设施专项监理。</w:t>
      </w:r>
    </w:p>
    <w:p>
      <w:pPr>
        <w:spacing w:before="120"/>
        <w:ind w:firstLine="480"/>
      </w:pPr>
      <w:r>
        <w:t>（3）监理内容</w:t>
      </w:r>
    </w:p>
    <w:p>
      <w:pPr>
        <w:spacing w:before="120"/>
        <w:ind w:firstLine="480"/>
      </w:pPr>
      <w:r>
        <w:t>监理单位主要是以对水土保持措施的单位工程、分部工程、单元工程、重要隐蔽工程、工程关键部位、中间产品以及外观质量得分进行质量评定。在具体监理过程中，监理单位、建设单位以及施工单位，共同对施工原始记录、质量检验记录等资料进行查验，确认单元工程质量评定表所填写的数据、内容的真实和完整性，必要时可进行破坏性抽检。同时，应在单元工程质量评定表中明确记载质量等级的核定意见。</w:t>
      </w:r>
    </w:p>
    <w:p>
      <w:pPr>
        <w:spacing w:before="120"/>
        <w:ind w:firstLine="480"/>
      </w:pPr>
      <w:r>
        <w:t>（4）监理方法</w:t>
      </w:r>
    </w:p>
    <w:p>
      <w:pPr>
        <w:spacing w:before="120"/>
        <w:ind w:firstLine="480"/>
      </w:pPr>
      <w:r>
        <w:t>该工程的监理工作在工程建设全过程中实施“四控制”（进度、质量、投资、安全控制）、“一管理”（合同管理）、“一协调”（协调业主和工程参建各方的关系），实现工程完工投产目标。</w:t>
      </w:r>
    </w:p>
    <w:p>
      <w:pPr>
        <w:spacing w:before="120"/>
        <w:ind w:firstLine="480"/>
      </w:pPr>
      <w:r>
        <w:rPr>
          <w:rFonts w:eastAsia="宋体"/>
        </w:rPr>
        <w:t>①</w:t>
      </w:r>
      <w:r>
        <w:t>质量控制方法</w:t>
      </w:r>
    </w:p>
    <w:p>
      <w:pPr>
        <w:spacing w:before="120"/>
        <w:ind w:firstLine="480"/>
      </w:pPr>
      <w:r>
        <w:t>质量控制分事前、事中、事后质量控制措施。依据国家建设监理有关规定，监理单位制定了一系列质量控制程序，主要包括承包单位质量体系审查程序、施工质量检验项目划分、报审、主要工程材料检查及复试检验、见证取样检验、材料及构（配）件供货商资质审查、外协单位资质审查、施工器具和检测仪表审查、质量验收及评定、隐蔽工程质量验收、不合格品管理、质量事故处理工作、工程质量例会管理办法等工作程序流程框图，以规范工程质量监理工作。施工、监理人员必须熟悉和遵守。</w:t>
      </w:r>
    </w:p>
    <w:p>
      <w:pPr>
        <w:spacing w:before="120"/>
        <w:ind w:firstLine="480"/>
      </w:pPr>
      <w:r>
        <w:rPr>
          <w:rFonts w:eastAsia="宋体"/>
        </w:rPr>
        <w:t>②</w:t>
      </w:r>
      <w:r>
        <w:t>进度控制方法</w:t>
      </w:r>
    </w:p>
    <w:p>
      <w:pPr>
        <w:spacing w:before="120"/>
        <w:ind w:firstLine="480"/>
      </w:pPr>
      <w:r>
        <w:t>审核施工进度计划、材料设备供应计划与工期目标的协调性、符合性。审查承包商编制的二级及以下网络进度计划及其修改计划，并监督实施。根据《施工合同》督促承包商编制、执行、调整、控制进度计划，掌握工程进度，采取措施，确保工程开、</w:t>
      </w:r>
      <w:r>
        <w:rPr>
          <w:rFonts w:hint="eastAsia"/>
          <w:lang w:eastAsia="zh-CN"/>
        </w:rPr>
        <w:t>完工</w:t>
      </w:r>
      <w:r>
        <w:t>时间和工程阶段性里程碑进度计划的按时完成。</w:t>
      </w:r>
    </w:p>
    <w:p>
      <w:pPr>
        <w:spacing w:before="120"/>
        <w:ind w:firstLine="480"/>
      </w:pPr>
      <w:r>
        <w:rPr>
          <w:rFonts w:eastAsia="宋体"/>
        </w:rPr>
        <w:t>③</w:t>
      </w:r>
      <w:r>
        <w:t>投资控制方法</w:t>
      </w:r>
    </w:p>
    <w:p>
      <w:pPr>
        <w:spacing w:before="120"/>
        <w:ind w:firstLine="480"/>
      </w:pPr>
      <w:r>
        <w:t>协助业主方准备并评审施工招标文件，参与对施工承包商的评标、合同谈判工作。协助委托人与承包人签订承包合同。</w:t>
      </w:r>
    </w:p>
    <w:p>
      <w:pPr>
        <w:spacing w:before="120"/>
        <w:ind w:firstLine="480"/>
      </w:pPr>
      <w:r>
        <w:t>以批准的设计概算为控制投资工作的依据，协助业主方编制工程年度资金计划，并按月、季核实落实，定期向业主方通报资金使用状况。</w:t>
      </w:r>
    </w:p>
    <w:p>
      <w:pPr>
        <w:spacing w:before="120"/>
        <w:ind w:firstLine="480"/>
      </w:pPr>
      <w:r>
        <w:t>审查承包商实际完成工作量及上报的《合同项目付款申请表》、《工程费用支付汇总表》、《工程变更费用申请表》、《工程结算书》等费用报表，确认无误后，由总监理工程师签署计量和工程付款凭证，使工程投资得到有效控制。</w:t>
      </w:r>
    </w:p>
    <w:p>
      <w:pPr>
        <w:spacing w:before="120"/>
        <w:ind w:firstLine="480"/>
      </w:pPr>
      <w:r>
        <w:t>严格经费签证，凡涉及经济费用支出的停工签证、用工签证、使用机械签证、材料代用和材料调价签证，由项目总监理工程师最后核签。</w:t>
      </w:r>
    </w:p>
    <w:p>
      <w:pPr>
        <w:spacing w:before="120"/>
        <w:ind w:firstLine="480"/>
      </w:pPr>
      <w:r>
        <w:t>严格按程序从造价、功能要求、质量和工期等方面审查工程变更、设计修改方案，如有变更及时通报业主方。</w:t>
      </w:r>
    </w:p>
    <w:p>
      <w:pPr>
        <w:pStyle w:val="4"/>
        <w:numPr>
          <w:ilvl w:val="2"/>
          <w:numId w:val="0"/>
        </w:numPr>
        <w:spacing w:before="120"/>
      </w:pPr>
      <w:bookmarkStart w:id="204" w:name="_Toc484280821"/>
      <w:bookmarkStart w:id="205" w:name="_Toc489977038"/>
      <w:bookmarkStart w:id="206" w:name="_Toc24931"/>
      <w:bookmarkStart w:id="207" w:name="_Toc20933"/>
      <w:bookmarkStart w:id="208" w:name="_Toc496268082"/>
      <w:bookmarkStart w:id="209" w:name="_Toc1748"/>
      <w:bookmarkStart w:id="210" w:name="_Toc515873367"/>
      <w:r>
        <w:rPr>
          <w:rFonts w:hint="eastAsia"/>
        </w:rPr>
        <w:t xml:space="preserve">6.5.2  </w:t>
      </w:r>
      <w:r>
        <w:t>监理结果分析与评价</w:t>
      </w:r>
      <w:bookmarkEnd w:id="204"/>
      <w:bookmarkEnd w:id="205"/>
      <w:bookmarkEnd w:id="206"/>
      <w:bookmarkEnd w:id="207"/>
      <w:bookmarkEnd w:id="208"/>
      <w:bookmarkEnd w:id="209"/>
      <w:bookmarkEnd w:id="210"/>
    </w:p>
    <w:p>
      <w:pPr>
        <w:spacing w:before="120"/>
        <w:ind w:firstLine="480"/>
        <w:jc w:val="left"/>
      </w:pPr>
      <w:r>
        <w:t>主体监理单位接受委托后，及时组建了工程现场监理部（包含水土保持工程），并根据《水土流失综合治理技术规范（GB/T16453-2008）、《建设工程监理规范》（GB50319-2000）、《水利工程建设项目施工监理规范》（SL288-2003）、《水土保持质量评定规程》（SL336-2006）等与水土保持有关的规程、规范和技术标准及文件要求，开展了水土保持工程监理工作。</w:t>
      </w:r>
    </w:p>
    <w:p>
      <w:pPr>
        <w:spacing w:before="120"/>
        <w:ind w:firstLine="480"/>
      </w:pPr>
      <w:r>
        <w:t>一、水土保持工程建设项目监理在监理过程中主要开展了以下工作：</w:t>
      </w:r>
    </w:p>
    <w:p>
      <w:pPr>
        <w:spacing w:before="120"/>
        <w:ind w:firstLine="480"/>
      </w:pPr>
      <w:r>
        <w:rPr>
          <w:rFonts w:eastAsia="宋体"/>
        </w:rPr>
        <w:t>①</w:t>
      </w:r>
      <w:r>
        <w:t>熟悉工程设计施工图及合同规定的技术规程、规范与技术标准；</w:t>
      </w:r>
    </w:p>
    <w:p>
      <w:pPr>
        <w:spacing w:before="120"/>
        <w:ind w:firstLine="480"/>
      </w:pPr>
      <w:r>
        <w:rPr>
          <w:rFonts w:eastAsia="宋体"/>
        </w:rPr>
        <w:t>②</w:t>
      </w:r>
      <w:r>
        <w:t>制定工程监理程序，审查承包商编制的施工组织设计及施工方案、质量保证体系等；</w:t>
      </w:r>
    </w:p>
    <w:p>
      <w:pPr>
        <w:spacing w:before="120"/>
        <w:ind w:firstLine="480"/>
      </w:pPr>
      <w:r>
        <w:rPr>
          <w:rFonts w:eastAsia="宋体"/>
        </w:rPr>
        <w:t>③</w:t>
      </w:r>
      <w:r>
        <w:t>对每道工序、每个部位不定期地进行质量检查和巡视检查，对重要工程基础开挖、墙体砌筑、采取旁站措施；对质量合格及时签认，对不合格的要求返工或采取补救措施；</w:t>
      </w:r>
    </w:p>
    <w:p>
      <w:pPr>
        <w:spacing w:before="120"/>
        <w:ind w:firstLine="480"/>
      </w:pPr>
      <w:r>
        <w:rPr>
          <w:rFonts w:eastAsia="宋体"/>
        </w:rPr>
        <w:t>④</w:t>
      </w:r>
      <w:r>
        <w:t>反复宣传“预防为主、保护优先、全面规划、综合治理、因地制宜、突出重点、科学管理、注重效益”的方针，发现质量问题及时进行处理；</w:t>
      </w:r>
    </w:p>
    <w:p>
      <w:pPr>
        <w:spacing w:before="120"/>
        <w:ind w:firstLine="480"/>
      </w:pPr>
      <w:r>
        <w:rPr>
          <w:rFonts w:eastAsia="宋体"/>
        </w:rPr>
        <w:t>⑤</w:t>
      </w:r>
      <w:r>
        <w:t>在项目施工过程中及时向业主提交各种报表和工作总结报告，并做好监理日志记录，整理好有关资料。</w:t>
      </w:r>
    </w:p>
    <w:p>
      <w:pPr>
        <w:spacing w:before="120"/>
        <w:ind w:firstLine="480"/>
      </w:pPr>
      <w:r>
        <w:t>二、防治责任范围监理情况</w:t>
      </w:r>
    </w:p>
    <w:p>
      <w:pPr>
        <w:spacing w:before="120"/>
        <w:ind w:firstLine="480"/>
      </w:pPr>
      <w:r>
        <w:t>《水土保持方案报告表》中明确</w:t>
      </w:r>
      <w:r>
        <w:rPr>
          <w:snapToGrid w:val="0"/>
          <w:kern w:val="0"/>
        </w:rPr>
        <w:t>该工程确定的防治责任范围为</w:t>
      </w:r>
      <w:r>
        <w:rPr>
          <w:rFonts w:hint="eastAsia"/>
          <w:lang w:val="en-US" w:eastAsia="zh-CN"/>
        </w:rPr>
        <w:t>0.25</w:t>
      </w:r>
      <w:r>
        <w:t>hm</w:t>
      </w:r>
      <w:r>
        <w:rPr>
          <w:vertAlign w:val="superscript"/>
        </w:rPr>
        <w:t>2</w:t>
      </w:r>
      <w:r>
        <w:t>。在实际建设中，工程防治责任范围为</w:t>
      </w:r>
      <w:r>
        <w:rPr>
          <w:rFonts w:hint="eastAsia"/>
          <w:lang w:val="en-US" w:eastAsia="zh-CN"/>
        </w:rPr>
        <w:t>0.25</w:t>
      </w:r>
      <w:r>
        <w:t>hm</w:t>
      </w:r>
      <w:r>
        <w:rPr>
          <w:vertAlign w:val="superscript"/>
        </w:rPr>
        <w:t>2</w:t>
      </w:r>
      <w:r>
        <w:t>。</w:t>
      </w:r>
    </w:p>
    <w:p>
      <w:pPr>
        <w:spacing w:before="120"/>
        <w:ind w:firstLine="480"/>
      </w:pPr>
      <w:r>
        <w:t>三、工程质量监理结果</w:t>
      </w:r>
    </w:p>
    <w:p>
      <w:pPr>
        <w:spacing w:before="120"/>
        <w:ind w:firstLine="480"/>
      </w:pPr>
      <w:r>
        <w:t>监理单位按照水土保持工程的界定三原则（主导功能原则、责任区分原则、试验排除原则）及《水土保持工程质量评定规程》(SL336-2006)确定的水土保持措施项目划分方法，将本项目工程的水土保持措施划分为</w:t>
      </w:r>
      <w:r>
        <w:rPr>
          <w:rFonts w:hint="eastAsia"/>
          <w:lang w:val="en-US" w:eastAsia="zh-CN"/>
        </w:rPr>
        <w:t>2</w:t>
      </w:r>
      <w:r>
        <w:t>个单位工程，</w:t>
      </w:r>
      <w:r>
        <w:rPr>
          <w:rFonts w:hint="eastAsia"/>
          <w:lang w:val="en-US" w:eastAsia="zh-CN"/>
        </w:rPr>
        <w:t>2</w:t>
      </w:r>
      <w:r>
        <w:t>个分部工程，</w:t>
      </w:r>
      <w:r>
        <w:rPr>
          <w:rFonts w:hint="eastAsia"/>
          <w:lang w:val="en-US" w:eastAsia="zh-CN"/>
        </w:rPr>
        <w:t>7</w:t>
      </w:r>
      <w:r>
        <w:t>个单元工程。</w:t>
      </w:r>
    </w:p>
    <w:p>
      <w:pPr>
        <w:pStyle w:val="4"/>
        <w:numPr>
          <w:ilvl w:val="2"/>
          <w:numId w:val="0"/>
        </w:numPr>
        <w:spacing w:before="120"/>
      </w:pPr>
      <w:bookmarkStart w:id="211" w:name="_Toc489977039"/>
      <w:bookmarkStart w:id="212" w:name="_Toc5115"/>
      <w:bookmarkStart w:id="213" w:name="_Toc496268083"/>
      <w:bookmarkStart w:id="214" w:name="_Toc24319"/>
      <w:bookmarkStart w:id="215" w:name="_Toc484280822"/>
      <w:bookmarkStart w:id="216" w:name="_Toc515873368"/>
      <w:bookmarkStart w:id="217" w:name="_Toc16848"/>
      <w:r>
        <w:rPr>
          <w:rFonts w:hint="eastAsia"/>
        </w:rPr>
        <w:t xml:space="preserve">6.5.3  </w:t>
      </w:r>
      <w:r>
        <w:t>监理评估结论</w:t>
      </w:r>
      <w:bookmarkEnd w:id="211"/>
      <w:bookmarkEnd w:id="212"/>
      <w:bookmarkEnd w:id="213"/>
      <w:bookmarkEnd w:id="214"/>
      <w:bookmarkEnd w:id="215"/>
      <w:bookmarkEnd w:id="216"/>
      <w:bookmarkEnd w:id="217"/>
    </w:p>
    <w:p>
      <w:pPr>
        <w:spacing w:before="120"/>
        <w:ind w:firstLine="480"/>
      </w:pPr>
      <w:r>
        <w:t>监理单位按照监理合同完成了合同拟定的全部监理工作任务，包括防洪排导工程和植被建设工程的监理。监理单位能严格按照监理合同要求，审查承包单位的工程质量控制体系，监理人员常驻现场，相对独立、科学严谨，对重点工程进行跟班作业，及时解决施工中存在的问题，对施工质量、进度进行监控，工程质量达到设计要求，确保项目工期的实现。该工程质量基本符合水土保持设计和有关规范的要求，已栽植的草籽成活率和保存率90%以上。并对工程资料的管理，严格按照有关部门的规定进行了归档，并建立了监理资料查阅制度。</w:t>
      </w:r>
    </w:p>
    <w:p>
      <w:pPr>
        <w:spacing w:before="120"/>
        <w:ind w:firstLine="480"/>
      </w:pPr>
      <w:r>
        <w:t>报告编制组认为：</w:t>
      </w:r>
      <w:r>
        <w:rPr>
          <w:rFonts w:hint="eastAsia"/>
          <w:lang w:eastAsia="zh-CN"/>
        </w:rPr>
        <w:t>甘孜康定新都桥220kV临时变35kV配套工程</w:t>
      </w:r>
      <w:r>
        <w:t>在建设过程中根据相关法律法规和规章的要求，开展了相关的监理工作，监理单位取得了相关的工程质量监理数据，监理成果基本能够反映该项目工程的水土保持工程质量状况。</w:t>
      </w:r>
    </w:p>
    <w:p>
      <w:pPr>
        <w:spacing w:before="120"/>
        <w:ind w:firstLine="480"/>
      </w:pPr>
      <w:r>
        <w:t>监理结果表明，项目建设期间，在各防治分区采取的水土保持措施质量总体合格、外观整齐、水土保持工程布局合理，水土保持监理工作整体满足水土保持相关规程、规范的要求。</w:t>
      </w:r>
    </w:p>
    <w:p>
      <w:pPr>
        <w:pStyle w:val="2"/>
        <w:spacing w:before="120" w:after="120"/>
        <w:ind w:firstLine="0" w:firstLineChars="0"/>
        <w:rPr>
          <w:b/>
          <w:bCs/>
        </w:rPr>
      </w:pPr>
      <w:bookmarkStart w:id="218" w:name="_Toc20847"/>
      <w:bookmarkStart w:id="219" w:name="_Toc515873369"/>
      <w:r>
        <w:rPr>
          <w:rFonts w:hint="eastAsia"/>
          <w:b/>
          <w:bCs/>
        </w:rPr>
        <w:t xml:space="preserve">6.6  </w:t>
      </w:r>
      <w:r>
        <w:rPr>
          <w:b/>
          <w:bCs/>
        </w:rPr>
        <w:t>水行政主管部门监督检查意见落实情况</w:t>
      </w:r>
      <w:bookmarkEnd w:id="218"/>
      <w:bookmarkEnd w:id="219"/>
    </w:p>
    <w:p>
      <w:pPr>
        <w:spacing w:before="120"/>
        <w:ind w:firstLine="480"/>
      </w:pPr>
      <w:r>
        <w:t>建设单位主动和当地水行政主管部门取得联系，积极主动接受甘孜州水利局、</w:t>
      </w:r>
      <w:r>
        <w:rPr>
          <w:rFonts w:hint="eastAsia"/>
          <w:lang w:eastAsia="zh-CN"/>
        </w:rPr>
        <w:t>康定市</w:t>
      </w:r>
      <w:r>
        <w:t>水务局等水行政主管部门的监督和检查，确保</w:t>
      </w:r>
      <w:r>
        <w:rPr>
          <w:rFonts w:hint="eastAsia"/>
        </w:rPr>
        <w:t>项目</w:t>
      </w:r>
      <w:r>
        <w:t>顺利实施。</w:t>
      </w:r>
    </w:p>
    <w:p>
      <w:pPr>
        <w:spacing w:before="120"/>
        <w:ind w:firstLine="480"/>
      </w:pPr>
      <w:r>
        <w:t>建设单位主动汇报本项目水土保持工作情况，接受当地水行政主管部门的监督与检查。地方水行政主管部门对工程开展了多次水土保持监督检查工作，并提出了口头监督检查意见，建设单位已积极按照意见落实完善。</w:t>
      </w:r>
    </w:p>
    <w:p>
      <w:pPr>
        <w:pStyle w:val="2"/>
        <w:spacing w:before="120" w:after="120"/>
        <w:ind w:firstLine="0" w:firstLineChars="0"/>
        <w:rPr>
          <w:b/>
          <w:bCs/>
        </w:rPr>
      </w:pPr>
      <w:bookmarkStart w:id="220" w:name="_Toc515873370"/>
      <w:bookmarkStart w:id="221" w:name="_Toc2826"/>
      <w:r>
        <w:rPr>
          <w:rFonts w:hint="eastAsia"/>
          <w:b/>
          <w:bCs/>
        </w:rPr>
        <w:t xml:space="preserve">6.7  </w:t>
      </w:r>
      <w:r>
        <w:rPr>
          <w:b/>
          <w:bCs/>
        </w:rPr>
        <w:t>水土保持补偿费缴纳情况</w:t>
      </w:r>
      <w:bookmarkEnd w:id="220"/>
      <w:bookmarkEnd w:id="221"/>
    </w:p>
    <w:p>
      <w:pPr>
        <w:spacing w:before="120"/>
        <w:ind w:firstLine="480"/>
      </w:pPr>
      <w:r>
        <w:t>本项目于2019年</w:t>
      </w:r>
      <w:r>
        <w:rPr>
          <w:rFonts w:hint="eastAsia"/>
        </w:rPr>
        <w:t>1</w:t>
      </w:r>
      <w:r>
        <w:rPr>
          <w:rFonts w:hint="eastAsia"/>
          <w:lang w:val="en-US" w:eastAsia="zh-CN"/>
        </w:rPr>
        <w:t>0</w:t>
      </w:r>
      <w:r>
        <w:t>月</w:t>
      </w:r>
      <w:r>
        <w:rPr>
          <w:rFonts w:hint="eastAsia"/>
          <w:lang w:val="en-US" w:eastAsia="zh-CN"/>
        </w:rPr>
        <w:t>8</w:t>
      </w:r>
      <w:r>
        <w:t>日开工，20</w:t>
      </w:r>
      <w:r>
        <w:rPr>
          <w:rFonts w:hint="eastAsia"/>
        </w:rPr>
        <w:t>20</w:t>
      </w:r>
      <w:r>
        <w:t>年</w:t>
      </w:r>
      <w:r>
        <w:rPr>
          <w:rFonts w:hint="eastAsia"/>
          <w:lang w:val="en-US" w:eastAsia="zh-CN"/>
        </w:rPr>
        <w:t>8</w:t>
      </w:r>
      <w:r>
        <w:t>月</w:t>
      </w:r>
      <w:r>
        <w:rPr>
          <w:rFonts w:hint="eastAsia"/>
          <w:lang w:val="en-US" w:eastAsia="zh-CN"/>
        </w:rPr>
        <w:t>9</w:t>
      </w:r>
      <w:r>
        <w:t>日</w:t>
      </w:r>
      <w:r>
        <w:rPr>
          <w:rFonts w:hint="eastAsia"/>
          <w:lang w:eastAsia="zh-CN"/>
        </w:rPr>
        <w:t>完工</w:t>
      </w:r>
      <w:r>
        <w:t>，工程总工期</w:t>
      </w:r>
      <w:r>
        <w:rPr>
          <w:rFonts w:hint="eastAsia"/>
          <w:lang w:val="en-US" w:eastAsia="zh-CN"/>
        </w:rPr>
        <w:t>10</w:t>
      </w:r>
      <w:r>
        <w:t>个月。建设单位已于20</w:t>
      </w:r>
      <w:r>
        <w:rPr>
          <w:rFonts w:hint="eastAsia"/>
        </w:rPr>
        <w:t>2</w:t>
      </w:r>
      <w:r>
        <w:rPr>
          <w:rFonts w:hint="eastAsia"/>
          <w:lang w:val="en-US" w:eastAsia="zh-CN"/>
        </w:rPr>
        <w:t>1</w:t>
      </w:r>
      <w:r>
        <w:t>年</w:t>
      </w:r>
      <w:r>
        <w:rPr>
          <w:rFonts w:hint="eastAsia"/>
          <w:lang w:val="en-US" w:eastAsia="zh-CN"/>
        </w:rPr>
        <w:t>2</w:t>
      </w:r>
      <w:r>
        <w:t>月</w:t>
      </w:r>
      <w:r>
        <w:rPr>
          <w:rFonts w:hint="eastAsia"/>
          <w:lang w:val="en-US" w:eastAsia="zh-CN"/>
        </w:rPr>
        <w:t>25</w:t>
      </w:r>
      <w:r>
        <w:t>日按水土保持方案批复</w:t>
      </w:r>
      <w:r>
        <w:rPr>
          <w:rFonts w:hint="eastAsia"/>
          <w:lang w:val="en-US" w:eastAsia="zh-CN"/>
        </w:rPr>
        <w:t>0.33</w:t>
      </w:r>
      <w:r>
        <w:t>万元缴纳（详见附件）。</w:t>
      </w:r>
    </w:p>
    <w:p>
      <w:pPr>
        <w:pStyle w:val="2"/>
        <w:spacing w:before="120" w:after="120"/>
        <w:ind w:firstLine="0" w:firstLineChars="0"/>
        <w:rPr>
          <w:b/>
          <w:bCs/>
        </w:rPr>
      </w:pPr>
      <w:bookmarkStart w:id="222" w:name="_Toc515873371"/>
      <w:bookmarkStart w:id="223" w:name="_Toc11073"/>
      <w:r>
        <w:rPr>
          <w:rFonts w:hint="eastAsia"/>
          <w:b/>
          <w:bCs/>
        </w:rPr>
        <w:t xml:space="preserve">6.8  </w:t>
      </w:r>
      <w:r>
        <w:rPr>
          <w:b/>
          <w:bCs/>
        </w:rPr>
        <w:t>水土保持设施管理维护</w:t>
      </w:r>
      <w:bookmarkEnd w:id="222"/>
      <w:bookmarkEnd w:id="223"/>
    </w:p>
    <w:p>
      <w:pPr>
        <w:pStyle w:val="4"/>
        <w:numPr>
          <w:ilvl w:val="2"/>
          <w:numId w:val="0"/>
        </w:numPr>
        <w:spacing w:before="120"/>
      </w:pPr>
      <w:bookmarkStart w:id="224" w:name="_Toc515873372"/>
      <w:r>
        <w:rPr>
          <w:rFonts w:hint="eastAsia"/>
        </w:rPr>
        <w:t xml:space="preserve">6.8.1  </w:t>
      </w:r>
      <w:r>
        <w:t>管理机构、人员、制度</w:t>
      </w:r>
      <w:bookmarkEnd w:id="224"/>
    </w:p>
    <w:p>
      <w:pPr>
        <w:spacing w:before="120"/>
        <w:ind w:firstLine="480"/>
      </w:pPr>
      <w:r>
        <w:t>本项目于2019年</w:t>
      </w:r>
      <w:r>
        <w:rPr>
          <w:rFonts w:hint="eastAsia"/>
        </w:rPr>
        <w:t>1</w:t>
      </w:r>
      <w:r>
        <w:rPr>
          <w:rFonts w:hint="eastAsia"/>
          <w:lang w:val="en-US" w:eastAsia="zh-CN"/>
        </w:rPr>
        <w:t>0</w:t>
      </w:r>
      <w:r>
        <w:t>月</w:t>
      </w:r>
      <w:r>
        <w:rPr>
          <w:rFonts w:hint="eastAsia"/>
          <w:lang w:val="en-US" w:eastAsia="zh-CN"/>
        </w:rPr>
        <w:t>8</w:t>
      </w:r>
      <w:r>
        <w:t>日开工，20</w:t>
      </w:r>
      <w:r>
        <w:rPr>
          <w:rFonts w:hint="eastAsia"/>
        </w:rPr>
        <w:t>20</w:t>
      </w:r>
      <w:r>
        <w:t>年</w:t>
      </w:r>
      <w:r>
        <w:rPr>
          <w:rFonts w:hint="eastAsia"/>
          <w:lang w:val="en-US" w:eastAsia="zh-CN"/>
        </w:rPr>
        <w:t>8</w:t>
      </w:r>
      <w:r>
        <w:t>月</w:t>
      </w:r>
      <w:r>
        <w:rPr>
          <w:rFonts w:hint="eastAsia"/>
          <w:lang w:val="en-US" w:eastAsia="zh-CN"/>
        </w:rPr>
        <w:t>9</w:t>
      </w:r>
      <w:r>
        <w:t>日工程基本建设完成，水土保持工程措施基本与主体同步实施，水土保持工程措施随着主体工程完工而完工。目前各项治理措施已完成，水土流失防治效果较好，各项治理措施完成到位。业主与各施工单位一起，将水土保持设施管理维护纳入工程日常维护中，主要体现在以下方面：</w:t>
      </w:r>
    </w:p>
    <w:p>
      <w:pPr>
        <w:spacing w:before="120"/>
        <w:ind w:firstLine="480"/>
      </w:pPr>
      <w:r>
        <w:t>（1）定期巡逻、检查</w:t>
      </w:r>
    </w:p>
    <w:p>
      <w:pPr>
        <w:spacing w:before="120"/>
        <w:ind w:firstLine="480"/>
      </w:pPr>
      <w:r>
        <w:t>由业主及监理单位监督，各区使用单位对工程涉及的各防治分区的排水设施和植物措施生长存活情况进行定期巡逻、检查，逐级落实岗位责任制，对出现淤塞的排水设施及时疏通，损坏的水土保持设施及时修复、加固，对林草措施及时进行抚育、补植、更新。</w:t>
      </w:r>
    </w:p>
    <w:p>
      <w:pPr>
        <w:spacing w:before="120"/>
        <w:ind w:firstLine="480"/>
      </w:pPr>
      <w:r>
        <w:t>（2）及时维护</w:t>
      </w:r>
    </w:p>
    <w:p>
      <w:pPr>
        <w:spacing w:before="120"/>
        <w:ind w:firstLine="480"/>
      </w:pPr>
      <w:r>
        <w:t>如果在检查过程中发现水土保持设施被破坏，派养护工作人员迅速对被损坏的设施进行修复、维护、加固，确保水土保持设施安全、高效地发挥水土保持效益。</w:t>
      </w:r>
    </w:p>
    <w:p>
      <w:pPr>
        <w:spacing w:before="120"/>
        <w:ind w:firstLine="480"/>
      </w:pPr>
      <w:r>
        <w:t>（3）制定应急预案</w:t>
      </w:r>
    </w:p>
    <w:p>
      <w:pPr>
        <w:spacing w:before="120"/>
        <w:ind w:firstLine="480"/>
      </w:pPr>
      <w:r>
        <w:t>为了保障工程安全，避免发生水土流失灾害，公司要求各参建单位专门制定了相关应急预案，要求在夏秋雨季加强对狂风暴雨等恶劣气候条件下应增加巡逻次数和高填方、易塌方等地段的监控，对可能涉及的排水沟</w:t>
      </w:r>
      <w:r>
        <w:rPr>
          <w:rFonts w:hint="eastAsia"/>
          <w:lang w:eastAsia="zh-CN"/>
        </w:rPr>
        <w:t>、</w:t>
      </w:r>
      <w:r>
        <w:rPr>
          <w:rFonts w:hint="eastAsia"/>
          <w:lang w:val="en-US" w:eastAsia="zh-CN"/>
        </w:rPr>
        <w:t>管</w:t>
      </w:r>
      <w:r>
        <w:t>等要检查排水是否顺畅，并明确了在出现险情后各级机构、人员的职责以及处理程序。</w:t>
      </w:r>
    </w:p>
    <w:p>
      <w:pPr>
        <w:spacing w:before="120"/>
        <w:ind w:firstLine="480"/>
      </w:pPr>
      <w:r>
        <w:t>（4）档案管理</w:t>
      </w:r>
    </w:p>
    <w:p>
      <w:pPr>
        <w:spacing w:before="120"/>
        <w:ind w:firstLine="480"/>
      </w:pPr>
      <w:r>
        <w:t>公司为了做好工程</w:t>
      </w:r>
      <w:r>
        <w:rPr>
          <w:rFonts w:hint="eastAsia"/>
          <w:lang w:eastAsia="zh-CN"/>
        </w:rPr>
        <w:t>完工</w:t>
      </w:r>
      <w:r>
        <w:t>验收工作，专门抽调档案部专职人员负责相关水土保持设施设计、施工、监理等资料的管理。本项目水土保持方案、初步设计等及其相关批复文件已归档保存。</w:t>
      </w:r>
    </w:p>
    <w:p>
      <w:pPr>
        <w:spacing w:before="120"/>
        <w:ind w:firstLine="480"/>
      </w:pPr>
      <w:r>
        <w:t>水土保持工程验收后，运行期水土流失防治责任范围内的水土保持工程措施日常管理维护工作将随主体工程交由建设单位国网四川省电力公司</w:t>
      </w:r>
      <w:r>
        <w:rPr>
          <w:rFonts w:hint="eastAsia"/>
        </w:rPr>
        <w:t>甘孜供电公司</w:t>
      </w:r>
      <w:r>
        <w:t>负责。运营过程中，对防治分区内的排水设施进行定期检查，排水设施出现淤塞及时疏通，损坏的水土保持设施及时修复、加固。</w:t>
      </w:r>
    </w:p>
    <w:p>
      <w:pPr>
        <w:spacing w:before="120"/>
        <w:ind w:firstLine="480"/>
      </w:pPr>
      <w:r>
        <w:t>从目前运行情况看，水土保持工程管理责任明确，水土保持设施的正常运行得到了保证，取得了一定的效果。报告编制组认为，现行的水土保持管理符合水土保持工作的需要，可以保证水土保持设施正常运行，运行期管理责任是明确的。</w:t>
      </w:r>
    </w:p>
    <w:p>
      <w:pPr>
        <w:pStyle w:val="4"/>
        <w:numPr>
          <w:ilvl w:val="2"/>
          <w:numId w:val="0"/>
        </w:numPr>
        <w:spacing w:before="120"/>
      </w:pPr>
      <w:bookmarkStart w:id="225" w:name="_Toc496268099"/>
      <w:bookmarkStart w:id="226" w:name="_Toc22869"/>
      <w:bookmarkStart w:id="227" w:name="_Toc515873373"/>
      <w:bookmarkStart w:id="228" w:name="_Toc11166"/>
      <w:bookmarkStart w:id="229" w:name="_Toc484280837"/>
      <w:bookmarkStart w:id="230" w:name="_Toc28024"/>
      <w:bookmarkStart w:id="231" w:name="_Toc489977055"/>
      <w:r>
        <w:rPr>
          <w:rFonts w:hint="eastAsia"/>
        </w:rPr>
        <w:t xml:space="preserve">6.8.2  </w:t>
      </w:r>
      <w:r>
        <w:t>管理维护情况</w:t>
      </w:r>
      <w:bookmarkEnd w:id="225"/>
      <w:bookmarkEnd w:id="226"/>
      <w:bookmarkEnd w:id="227"/>
      <w:bookmarkEnd w:id="228"/>
      <w:bookmarkEnd w:id="229"/>
      <w:bookmarkEnd w:id="230"/>
      <w:bookmarkEnd w:id="231"/>
    </w:p>
    <w:p>
      <w:pPr>
        <w:spacing w:before="120"/>
        <w:ind w:firstLine="480"/>
      </w:pPr>
      <w:r>
        <w:t>本工程投产以来，建设单位按照运行管理规定，加强对防治责任范围内各项水土保持设施的管理维护，由专人负责不定期检查、清理截排水沟道内淤积的泥沙，督促施工单位实施绿化区域的洒水、施肥、除草等管护工作，质保期满后即由建设单位负责绿化植物的管护措施，以更好发挥植物绿化美化和水土保持效果。</w:t>
      </w:r>
    </w:p>
    <w:p>
      <w:pPr>
        <w:spacing w:before="120"/>
        <w:ind w:firstLine="480"/>
        <w:jc w:val="left"/>
        <w:sectPr>
          <w:headerReference r:id="rId27" w:type="default"/>
          <w:pgSz w:w="11906" w:h="16838"/>
          <w:pgMar w:top="1440" w:right="1800" w:bottom="1440" w:left="1800" w:header="708" w:footer="708" w:gutter="0"/>
          <w:pgBorders>
            <w:top w:val="none" w:sz="0" w:space="0"/>
            <w:left w:val="none" w:sz="0" w:space="0"/>
            <w:bottom w:val="none" w:sz="0" w:space="0"/>
            <w:right w:val="none" w:sz="0" w:space="0"/>
          </w:pgBorders>
          <w:pgNumType w:fmt="numberInDash"/>
          <w:cols w:space="708" w:num="1"/>
          <w:docGrid w:linePitch="381" w:charSpace="0"/>
        </w:sectPr>
      </w:pPr>
      <w:r>
        <w:t>根据现场调查情况，本项目水土保持工程管理责任明确，水土保持设施的正常运行得到了建设单位在制度、任务、经费上的有力保证，各水土保持措施满足开发建设项目水土保持技术规范、水土保持方案及批复的要求，各项水保设施得以持续运行，水保效益得以持续发挥。本工程水土保持设施投入试运行以来，排水设施得到了有效管护，运行正常；绿化植物已加强后期管护，确保了成活率，发挥了绿化美化和保持水土的双重作用，具备</w:t>
      </w:r>
      <w:r>
        <w:rPr>
          <w:rFonts w:hint="eastAsia"/>
          <w:lang w:eastAsia="zh-CN"/>
        </w:rPr>
        <w:t>完工</w:t>
      </w:r>
      <w:r>
        <w:t>验收条件。</w:t>
      </w:r>
    </w:p>
    <w:p>
      <w:pPr>
        <w:pStyle w:val="3"/>
      </w:pPr>
      <w:bookmarkStart w:id="232" w:name="_Toc8246"/>
      <w:bookmarkStart w:id="233" w:name="_Toc515873374"/>
      <w:r>
        <w:t>结论</w:t>
      </w:r>
      <w:bookmarkEnd w:id="232"/>
      <w:bookmarkEnd w:id="233"/>
    </w:p>
    <w:p>
      <w:pPr>
        <w:pStyle w:val="2"/>
        <w:spacing w:before="120" w:after="120"/>
        <w:ind w:firstLine="0" w:firstLineChars="0"/>
        <w:rPr>
          <w:b/>
          <w:bCs/>
        </w:rPr>
      </w:pPr>
      <w:bookmarkStart w:id="234" w:name="_Toc515873375"/>
      <w:bookmarkStart w:id="235" w:name="_Toc19065"/>
      <w:r>
        <w:rPr>
          <w:rFonts w:hint="eastAsia"/>
          <w:b/>
          <w:bCs/>
        </w:rPr>
        <w:t xml:space="preserve">7.1  </w:t>
      </w:r>
      <w:r>
        <w:rPr>
          <w:b/>
          <w:bCs/>
        </w:rPr>
        <w:t>结论</w:t>
      </w:r>
      <w:bookmarkEnd w:id="234"/>
      <w:bookmarkEnd w:id="235"/>
    </w:p>
    <w:p>
      <w:pPr>
        <w:spacing w:before="120"/>
        <w:ind w:firstLine="480"/>
      </w:pPr>
      <w:r>
        <w:t>一、本工程位于甘孜州</w:t>
      </w:r>
      <w:r>
        <w:rPr>
          <w:rFonts w:hint="eastAsia" w:cs="Times New Roman"/>
          <w:lang w:eastAsia="zh-CN"/>
        </w:rPr>
        <w:t>康定市瓦泽乡瓦泽村</w:t>
      </w:r>
      <w:r>
        <w:rPr>
          <w:rFonts w:cs="Times New Roman"/>
        </w:rPr>
        <w:t>境内</w:t>
      </w:r>
      <w:r>
        <w:t>，</w:t>
      </w:r>
      <w:r>
        <w:rPr>
          <w:rFonts w:hint="eastAsia" w:cs="Times New Roman"/>
          <w:lang w:eastAsia="zh-CN"/>
        </w:rPr>
        <w:t>项目西临G318国道，交通</w:t>
      </w:r>
      <w:r>
        <w:rPr>
          <w:rFonts w:hint="eastAsia" w:cs="Times New Roman"/>
          <w:lang w:val="en-US" w:eastAsia="zh-CN"/>
        </w:rPr>
        <w:t>较为</w:t>
      </w:r>
      <w:r>
        <w:rPr>
          <w:rFonts w:hint="eastAsia" w:cs="Times New Roman"/>
          <w:lang w:eastAsia="zh-CN"/>
        </w:rPr>
        <w:t>便利</w:t>
      </w:r>
      <w:r>
        <w:t>。本项目总占地面积为</w:t>
      </w:r>
      <w:r>
        <w:rPr>
          <w:rFonts w:hint="eastAsia"/>
          <w:lang w:val="en-US" w:eastAsia="zh-CN"/>
        </w:rPr>
        <w:t>0.25</w:t>
      </w:r>
      <w:r>
        <w:t>hm</w:t>
      </w:r>
      <w:r>
        <w:rPr>
          <w:vertAlign w:val="superscript"/>
        </w:rPr>
        <w:t>2</w:t>
      </w:r>
      <w:r>
        <w:t>。工程于2019年</w:t>
      </w:r>
      <w:r>
        <w:rPr>
          <w:rFonts w:hint="eastAsia"/>
          <w:lang w:val="en-US" w:eastAsia="zh-CN"/>
        </w:rPr>
        <w:t>10</w:t>
      </w:r>
      <w:r>
        <w:t>月</w:t>
      </w:r>
      <w:r>
        <w:rPr>
          <w:rFonts w:hint="eastAsia"/>
          <w:lang w:val="en-US" w:eastAsia="zh-CN"/>
        </w:rPr>
        <w:t>8</w:t>
      </w:r>
      <w:r>
        <w:t>日正式开工建设，至20</w:t>
      </w:r>
      <w:r>
        <w:rPr>
          <w:rFonts w:hint="eastAsia"/>
        </w:rPr>
        <w:t>20</w:t>
      </w:r>
      <w:r>
        <w:t>年</w:t>
      </w:r>
      <w:r>
        <w:rPr>
          <w:rFonts w:hint="eastAsia"/>
          <w:lang w:val="en-US" w:eastAsia="zh-CN"/>
        </w:rPr>
        <w:t>8</w:t>
      </w:r>
      <w:r>
        <w:t>月</w:t>
      </w:r>
      <w:r>
        <w:rPr>
          <w:rFonts w:hint="eastAsia"/>
          <w:lang w:val="en-US" w:eastAsia="zh-CN"/>
        </w:rPr>
        <w:t>9</w:t>
      </w:r>
      <w:r>
        <w:t>日</w:t>
      </w:r>
      <w:r>
        <w:rPr>
          <w:rFonts w:hint="eastAsia"/>
          <w:lang w:eastAsia="zh-CN"/>
        </w:rPr>
        <w:t>完工</w:t>
      </w:r>
      <w:r>
        <w:t>，工程总工期</w:t>
      </w:r>
      <w:r>
        <w:rPr>
          <w:rFonts w:hint="eastAsia"/>
          <w:lang w:val="en-US" w:eastAsia="zh-CN"/>
        </w:rPr>
        <w:t>10</w:t>
      </w:r>
      <w:r>
        <w:t>个月。工程实际总投资</w:t>
      </w:r>
      <w:r>
        <w:rPr>
          <w:rFonts w:hint="eastAsia"/>
          <w:lang w:val="en-US" w:eastAsia="zh-CN"/>
        </w:rPr>
        <w:t>3842</w:t>
      </w:r>
      <w:r>
        <w:t>万元；项目水土保持投资为</w:t>
      </w:r>
      <w:r>
        <w:rPr>
          <w:rFonts w:hint="eastAsia"/>
          <w:color w:val="000000" w:themeColor="text1"/>
          <w:lang w:val="en-US" w:eastAsia="zh-CN"/>
        </w:rPr>
        <w:t>23.46</w:t>
      </w:r>
      <w:r>
        <w:t>万元（其中主体工程中具有水土保持功能的项目投资为</w:t>
      </w:r>
      <w:r>
        <w:rPr>
          <w:rFonts w:hint="eastAsia"/>
          <w:color w:val="000000" w:themeColor="text1"/>
          <w:lang w:val="en-US" w:eastAsia="zh-CN"/>
        </w:rPr>
        <w:t>16.02</w:t>
      </w:r>
      <w:r>
        <w:t>万元，新增水土保持投资为</w:t>
      </w:r>
      <w:r>
        <w:rPr>
          <w:rFonts w:hint="eastAsia"/>
          <w:color w:val="000000" w:themeColor="text1"/>
          <w:lang w:val="en-US" w:eastAsia="zh-CN"/>
        </w:rPr>
        <w:t>7.44</w:t>
      </w:r>
      <w:r>
        <w:t>万元）。</w:t>
      </w:r>
    </w:p>
    <w:p>
      <w:pPr>
        <w:spacing w:before="120"/>
        <w:ind w:firstLine="480"/>
      </w:pPr>
      <w:r>
        <w:t>二、在工程建设中，建设单位国网四川省电力公司</w:t>
      </w:r>
      <w:r>
        <w:rPr>
          <w:rFonts w:hint="eastAsia"/>
        </w:rPr>
        <w:t>甘孜供电公司</w:t>
      </w:r>
      <w:r>
        <w:t>对水土保持工作充分重视，开工前委托</w:t>
      </w:r>
      <w:r>
        <w:rPr>
          <w:rFonts w:hint="eastAsia"/>
          <w:lang w:eastAsia="zh-CN"/>
        </w:rPr>
        <w:t>浙江中水工程技术有限公司</w:t>
      </w:r>
      <w:r>
        <w:t>编制《</w:t>
      </w:r>
      <w:r>
        <w:rPr>
          <w:rFonts w:hint="eastAsia"/>
          <w:lang w:eastAsia="zh-CN"/>
        </w:rPr>
        <w:t>甘孜康定新都桥220kV临时变35kV配套工程</w:t>
      </w:r>
      <w:r>
        <w:t>水土保持方案报告表》（以下简称“报告</w:t>
      </w:r>
      <w:r>
        <w:rPr>
          <w:rFonts w:hint="eastAsia"/>
        </w:rPr>
        <w:t>表</w:t>
      </w:r>
      <w:r>
        <w:t>”），</w:t>
      </w:r>
      <w:r>
        <w:rPr>
          <w:color w:val="000000" w:themeColor="text1"/>
        </w:rPr>
        <w:t>20</w:t>
      </w:r>
      <w:r>
        <w:rPr>
          <w:rFonts w:hint="eastAsia"/>
          <w:color w:val="000000" w:themeColor="text1"/>
          <w:lang w:val="en-US" w:eastAsia="zh-CN"/>
        </w:rPr>
        <w:t>20</w:t>
      </w:r>
      <w:r>
        <w:rPr>
          <w:color w:val="000000" w:themeColor="text1"/>
        </w:rPr>
        <w:t>年</w:t>
      </w:r>
      <w:r>
        <w:rPr>
          <w:rFonts w:hint="eastAsia"/>
          <w:color w:val="000000" w:themeColor="text1"/>
          <w:lang w:val="en-US" w:eastAsia="zh-CN"/>
        </w:rPr>
        <w:t>5</w:t>
      </w:r>
      <w:r>
        <w:rPr>
          <w:color w:val="000000" w:themeColor="text1"/>
        </w:rPr>
        <w:t>月</w:t>
      </w:r>
      <w:r>
        <w:t>，</w:t>
      </w:r>
      <w:r>
        <w:rPr>
          <w:rFonts w:hint="eastAsia"/>
          <w:lang w:val="en-US" w:eastAsia="zh-CN"/>
        </w:rPr>
        <w:t>康定市</w:t>
      </w:r>
      <w:r>
        <w:t>水利局以</w:t>
      </w:r>
      <w:r>
        <w:rPr>
          <w:color w:val="000000" w:themeColor="text1"/>
        </w:rPr>
        <w:t>《</w:t>
      </w:r>
      <w:r>
        <w:rPr>
          <w:rFonts w:hint="eastAsia"/>
          <w:color w:val="000000" w:themeColor="text1"/>
          <w:lang w:val="en-US" w:eastAsia="zh-CN"/>
        </w:rPr>
        <w:t>康定市生产建设项目</w:t>
      </w:r>
      <w:r>
        <w:rPr>
          <w:color w:val="000000" w:themeColor="text1"/>
        </w:rPr>
        <w:t>水土保持方案报告表</w:t>
      </w:r>
      <w:r>
        <w:rPr>
          <w:rFonts w:hint="eastAsia"/>
          <w:color w:val="000000" w:themeColor="text1"/>
          <w:lang w:val="en-US" w:eastAsia="zh-CN"/>
        </w:rPr>
        <w:t>行政许可决定书</w:t>
      </w:r>
      <w:r>
        <w:rPr>
          <w:color w:val="000000" w:themeColor="text1"/>
        </w:rPr>
        <w:t>》（</w:t>
      </w:r>
      <w:r>
        <w:rPr>
          <w:rFonts w:hint="eastAsia"/>
          <w:color w:val="000000" w:themeColor="text1"/>
          <w:lang w:val="en-US" w:eastAsia="zh-CN"/>
        </w:rPr>
        <w:t>康水利</w:t>
      </w:r>
      <w:r>
        <w:rPr>
          <w:color w:val="000000" w:themeColor="text1"/>
        </w:rPr>
        <w:t>[20</w:t>
      </w:r>
      <w:r>
        <w:rPr>
          <w:rFonts w:hint="eastAsia"/>
          <w:color w:val="000000" w:themeColor="text1"/>
          <w:lang w:val="en-US" w:eastAsia="zh-CN"/>
        </w:rPr>
        <w:t>20</w:t>
      </w:r>
      <w:r>
        <w:rPr>
          <w:color w:val="000000" w:themeColor="text1"/>
        </w:rPr>
        <w:t>]</w:t>
      </w:r>
      <w:r>
        <w:rPr>
          <w:rFonts w:hint="eastAsia"/>
          <w:color w:val="000000" w:themeColor="text1"/>
          <w:lang w:val="en-US" w:eastAsia="zh-CN"/>
        </w:rPr>
        <w:t>102</w:t>
      </w:r>
      <w:r>
        <w:rPr>
          <w:color w:val="000000" w:themeColor="text1"/>
        </w:rPr>
        <w:t>号）</w:t>
      </w:r>
      <w:r>
        <w:t>对该项目水土保持方案报告表进行了</w:t>
      </w:r>
      <w:r>
        <w:rPr>
          <w:rFonts w:hint="eastAsia"/>
          <w:lang w:val="en-US" w:eastAsia="zh-CN"/>
        </w:rPr>
        <w:t>行政许可</w:t>
      </w:r>
      <w:r>
        <w:t>。本工程方案</w:t>
      </w:r>
      <w:r>
        <w:rPr>
          <w:rFonts w:hint="eastAsia"/>
        </w:rPr>
        <w:t>行政许可的</w:t>
      </w:r>
      <w:r>
        <w:t>水土流失防治责任范围为</w:t>
      </w:r>
      <w:r>
        <w:rPr>
          <w:rFonts w:hint="eastAsia"/>
          <w:lang w:val="en-US" w:eastAsia="zh-CN"/>
        </w:rPr>
        <w:t>0.25</w:t>
      </w:r>
      <w:r>
        <w:t>hm</w:t>
      </w:r>
      <w:r>
        <w:rPr>
          <w:vertAlign w:val="superscript"/>
        </w:rPr>
        <w:t>2</w:t>
      </w:r>
      <w:r>
        <w:t>。通过对本工程水土保持方案实施后的实际情况调查，本工程实际水土流失防治责任范围面积为</w:t>
      </w:r>
      <w:r>
        <w:rPr>
          <w:rFonts w:hint="eastAsia"/>
          <w:lang w:val="en-US" w:eastAsia="zh-CN"/>
        </w:rPr>
        <w:t>0.25</w:t>
      </w:r>
      <w:r>
        <w:t>hm</w:t>
      </w:r>
      <w:r>
        <w:rPr>
          <w:vertAlign w:val="superscript"/>
        </w:rPr>
        <w:t>2</w:t>
      </w:r>
      <w:r>
        <w:t>。</w:t>
      </w:r>
    </w:p>
    <w:p>
      <w:pPr>
        <w:spacing w:before="120"/>
        <w:ind w:firstLine="480"/>
      </w:pPr>
      <w:r>
        <w:t>三、根据各防治分区的实际情况，工程分别采取了排水沟、</w:t>
      </w:r>
      <w:r>
        <w:rPr>
          <w:rFonts w:hint="eastAsia"/>
          <w:lang w:val="en-US" w:eastAsia="zh-CN"/>
        </w:rPr>
        <w:t>排水管</w:t>
      </w:r>
      <w:r>
        <w:rPr>
          <w:rFonts w:hint="eastAsia"/>
          <w:lang w:eastAsia="zh-CN"/>
        </w:rPr>
        <w:t>、</w:t>
      </w:r>
      <w:r>
        <w:rPr>
          <w:rFonts w:hint="eastAsia"/>
          <w:lang w:val="en-US" w:eastAsia="zh-CN"/>
        </w:rPr>
        <w:t>碎石铺装</w:t>
      </w:r>
      <w:r>
        <w:t>等工程措施；同时在施工期间并采取</w:t>
      </w:r>
      <w:r>
        <w:rPr>
          <w:rFonts w:hint="eastAsia"/>
          <w:lang w:val="en-US" w:eastAsia="zh-CN"/>
        </w:rPr>
        <w:t>防雨布临时</w:t>
      </w:r>
      <w:r>
        <w:t>遮盖</w:t>
      </w:r>
      <w:r>
        <w:rPr>
          <w:rFonts w:hint="eastAsia"/>
          <w:lang w:val="en-US" w:eastAsia="zh-CN"/>
        </w:rPr>
        <w:t>措施</w:t>
      </w:r>
      <w:r>
        <w:t>。通过现场查勘，水土流失防治分区合理，措施布置得当，有效地减少了工程建设新增水土流失。</w:t>
      </w:r>
    </w:p>
    <w:p>
      <w:pPr>
        <w:spacing w:before="120"/>
        <w:ind w:firstLine="480"/>
      </w:pPr>
      <w:r>
        <w:t>四、结合工程的实际情况和各个区域水土流失特点，整个项目可划分为</w:t>
      </w:r>
      <w:r>
        <w:rPr>
          <w:rFonts w:hint="eastAsia"/>
          <w:lang w:val="en-US" w:eastAsia="zh-CN"/>
        </w:rPr>
        <w:t>2</w:t>
      </w:r>
      <w:r>
        <w:t>个单位工程，</w:t>
      </w:r>
      <w:r>
        <w:rPr>
          <w:rFonts w:hint="eastAsia"/>
          <w:lang w:val="en-US" w:eastAsia="zh-CN"/>
        </w:rPr>
        <w:t>2</w:t>
      </w:r>
      <w:r>
        <w:t>个分部工程，</w:t>
      </w:r>
      <w:r>
        <w:rPr>
          <w:rFonts w:hint="eastAsia"/>
          <w:lang w:val="en-US" w:eastAsia="zh-CN"/>
        </w:rPr>
        <w:t>7</w:t>
      </w:r>
      <w:r>
        <w:t>个单元工程。报告编制组通过现场考察、抽样调查，并经认真分析讨论，认为本工程水土保持方案得到了全面有效的实施，水土保持措施全部完成，部分优良，总体合格，运行效果良好。目前为止，水土保持设施基本完好，未出现大的质量问题。水土保持生态环境建设明显，基本控制了项目建设区内水土流失。</w:t>
      </w:r>
    </w:p>
    <w:p>
      <w:pPr>
        <w:spacing w:before="120"/>
        <w:ind w:firstLine="480"/>
      </w:pPr>
      <w:r>
        <w:t>五、对工程水土流失防治责任范围内的水土保持状况进行现场查验，对主要防治指标进行核算，建设单位通过实施水土流失防治措施，运行期</w:t>
      </w:r>
      <w:r>
        <w:rPr>
          <w:rFonts w:hint="eastAsia"/>
        </w:rPr>
        <w:t>水土流失总治理度</w:t>
      </w:r>
      <w:r>
        <w:t>达9</w:t>
      </w:r>
      <w:r>
        <w:rPr>
          <w:rFonts w:hint="eastAsia"/>
        </w:rPr>
        <w:t>6</w:t>
      </w:r>
      <w:r>
        <w:t>%，土壤流失控制比达1.</w:t>
      </w:r>
      <w:r>
        <w:rPr>
          <w:rFonts w:hint="eastAsia"/>
          <w:lang w:val="en-US" w:eastAsia="zh-CN"/>
        </w:rPr>
        <w:t>67</w:t>
      </w:r>
      <w:r>
        <w:t>，</w:t>
      </w:r>
      <w:r>
        <w:rPr>
          <w:rFonts w:hint="eastAsia"/>
        </w:rPr>
        <w:t>渣土防护</w:t>
      </w:r>
      <w:r>
        <w:t>率达</w:t>
      </w:r>
      <w:r>
        <w:rPr>
          <w:rFonts w:hint="eastAsia"/>
          <w:lang w:val="en-US" w:eastAsia="zh-CN"/>
        </w:rPr>
        <w:t>97.5</w:t>
      </w:r>
      <w:r>
        <w:t>%，</w:t>
      </w:r>
      <w:r>
        <w:rPr>
          <w:rFonts w:hint="eastAsia"/>
        </w:rPr>
        <w:t>表土保护率</w:t>
      </w:r>
      <w:r>
        <w:rPr>
          <w:rFonts w:hint="eastAsia"/>
          <w:lang w:val="en-US" w:eastAsia="zh-CN"/>
        </w:rPr>
        <w:t>不评价</w:t>
      </w:r>
      <w:r>
        <w:rPr>
          <w:rFonts w:hint="eastAsia"/>
        </w:rPr>
        <w:t>，</w:t>
      </w:r>
      <w:r>
        <w:t>林草植被恢复率达9</w:t>
      </w:r>
      <w:r>
        <w:rPr>
          <w:rFonts w:hint="eastAsia"/>
          <w:lang w:val="en-US" w:eastAsia="zh-CN"/>
        </w:rPr>
        <w:t>6.8</w:t>
      </w:r>
      <w:r>
        <w:t>%，林草覆盖率达</w:t>
      </w:r>
      <w:r>
        <w:rPr>
          <w:rFonts w:hint="eastAsia"/>
          <w:lang w:val="en-US" w:eastAsia="zh-CN"/>
        </w:rPr>
        <w:t>12</w:t>
      </w:r>
      <w:r>
        <w:t>%，六项防治指标均达到方案确定的目标值，水土保持效果显著。</w:t>
      </w:r>
    </w:p>
    <w:p>
      <w:pPr>
        <w:spacing w:before="120"/>
        <w:ind w:firstLine="480"/>
        <w:rPr>
          <w:szCs w:val="28"/>
        </w:rPr>
      </w:pPr>
      <w:r>
        <w:t>综上所述，报告编制组认为：国网四川省电力公司</w:t>
      </w:r>
      <w:r>
        <w:rPr>
          <w:rFonts w:hint="eastAsia"/>
        </w:rPr>
        <w:t>甘孜供电公司</w:t>
      </w:r>
      <w:r>
        <w:t>在工程建设中对水土保持工作充分重视，按照水土保持法律、法规的要求，编报了水土保持方案报告表，并</w:t>
      </w:r>
      <w:r>
        <w:rPr>
          <w:rFonts w:hint="eastAsia"/>
        </w:rPr>
        <w:t>取得</w:t>
      </w:r>
      <w:r>
        <w:rPr>
          <w:rFonts w:hint="eastAsia"/>
          <w:lang w:val="en-US" w:eastAsia="zh-CN"/>
        </w:rPr>
        <w:t>康定市</w:t>
      </w:r>
      <w:r>
        <w:t>水利局</w:t>
      </w:r>
      <w:r>
        <w:rPr>
          <w:rFonts w:hint="eastAsia"/>
        </w:rPr>
        <w:t>行政许可</w:t>
      </w:r>
      <w:r>
        <w:t>。为进一步落实方案设计的各项措施，建设单位将水土保持措施纳入到主体工程的招投标和施工组织设计中，明确了建设过程中的项目法人、施工单位和监理单位各自的水土保持职责，建立了有效的内部管理制度，工作规程，财务管理办法，档案管理制度等，保证了水土保持工程在保证质量的前提下按时完成。工程所实施的水土保持措施质量合格，运行情况良好，水土保持效益明显，财务制度规范、齐全，水土保持投资落实到位，各项工程支出合理，后期水土保持设施的管理维护责任明确，达到了设计标准和防治目标的要求，符合验收条件，可以进行建设期的水土保持</w:t>
      </w:r>
      <w:r>
        <w:rPr>
          <w:rFonts w:hint="eastAsia"/>
          <w:lang w:eastAsia="zh-CN"/>
        </w:rPr>
        <w:t>完工</w:t>
      </w:r>
      <w:r>
        <w:t>验收</w:t>
      </w:r>
      <w:r>
        <w:rPr>
          <w:szCs w:val="28"/>
        </w:rPr>
        <w:t>。</w:t>
      </w:r>
    </w:p>
    <w:p>
      <w:pPr>
        <w:pStyle w:val="2"/>
        <w:spacing w:before="120" w:after="120"/>
        <w:ind w:firstLine="0" w:firstLineChars="0"/>
        <w:rPr>
          <w:b/>
          <w:bCs/>
        </w:rPr>
      </w:pPr>
      <w:bookmarkStart w:id="236" w:name="_Toc515873376"/>
      <w:bookmarkStart w:id="237" w:name="_Toc21113"/>
      <w:r>
        <w:rPr>
          <w:rFonts w:hint="eastAsia"/>
          <w:b/>
          <w:bCs/>
        </w:rPr>
        <w:t xml:space="preserve">7.2  </w:t>
      </w:r>
      <w:r>
        <w:rPr>
          <w:b/>
          <w:bCs/>
        </w:rPr>
        <w:t>遗留问题安排</w:t>
      </w:r>
      <w:bookmarkEnd w:id="236"/>
      <w:bookmarkEnd w:id="237"/>
    </w:p>
    <w:p>
      <w:pPr>
        <w:spacing w:before="120"/>
        <w:ind w:firstLine="480"/>
      </w:pPr>
      <w:r>
        <w:rPr>
          <w:rFonts w:hint="eastAsia"/>
          <w:lang w:eastAsia="zh-CN"/>
        </w:rPr>
        <w:t>甘孜康定新都桥220kV临时变35kV配套工程</w:t>
      </w:r>
      <w:r>
        <w:t>施工过程中，建设单位一直都比较注重水土保持工作的进行，在防治水土流失方面也取得了一定的成效，但是还存在一些问题，为此提出以下建议：</w:t>
      </w:r>
    </w:p>
    <w:p>
      <w:pPr>
        <w:widowControl w:val="0"/>
        <w:numPr>
          <w:ilvl w:val="0"/>
          <w:numId w:val="4"/>
        </w:numPr>
        <w:adjustRightInd/>
        <w:snapToGrid/>
        <w:spacing w:before="120"/>
        <w:ind w:firstLine="480"/>
      </w:pPr>
      <w:r>
        <w:t>就目前来看，水土保持设施基本运行正常。为保证各项水土保持设施持续发挥作用，工程运行管理单位及相关人员需结合工程实际，加强对项目运行期的水土保持设施的管理，确保水土保持设施的运行安全和稳定，充分发挥效益。</w:t>
      </w:r>
    </w:p>
    <w:p>
      <w:pPr>
        <w:widowControl w:val="0"/>
        <w:numPr>
          <w:ilvl w:val="0"/>
          <w:numId w:val="4"/>
        </w:numPr>
        <w:adjustRightInd/>
        <w:snapToGrid/>
        <w:spacing w:before="120"/>
        <w:ind w:firstLine="480"/>
      </w:pPr>
      <w:r>
        <w:t>因项目区地势、气候等原因，项目区部分区域植被长势或恢复情况较差，建议运行单位加强对绿化区域的管护，及时对秃斑区域进行补植。</w:t>
      </w:r>
    </w:p>
    <w:p>
      <w:pPr>
        <w:widowControl w:val="0"/>
        <w:numPr>
          <w:ilvl w:val="0"/>
          <w:numId w:val="4"/>
        </w:numPr>
        <w:adjustRightInd/>
        <w:snapToGrid/>
        <w:spacing w:before="120"/>
        <w:ind w:firstLine="480"/>
      </w:pPr>
      <w:r>
        <w:t>加强与</w:t>
      </w:r>
      <w:r>
        <w:rPr>
          <w:rFonts w:hint="eastAsia"/>
        </w:rPr>
        <w:t>州</w:t>
      </w:r>
      <w:r>
        <w:t>、</w:t>
      </w:r>
      <w:r>
        <w:rPr>
          <w:rFonts w:hint="eastAsia"/>
          <w:lang w:val="en-US" w:eastAsia="zh-CN"/>
        </w:rPr>
        <w:t>市</w:t>
      </w:r>
      <w:r>
        <w:t>水行政主管部门的沟通和联系，接收并积极配合当地水行政主管部门的监督检查，进一步健全水土保持工作的管理制度，使水土保持工作规范化、制度化和长期化。</w:t>
      </w:r>
    </w:p>
    <w:p>
      <w:pPr>
        <w:widowControl w:val="0"/>
        <w:numPr>
          <w:ilvl w:val="0"/>
          <w:numId w:val="4"/>
        </w:numPr>
        <w:adjustRightInd/>
        <w:snapToGrid/>
        <w:spacing w:before="120"/>
        <w:ind w:firstLine="480"/>
      </w:pPr>
      <w:r>
        <w:t>做好重要资料的保存和归档，以便以后查阅。</w:t>
      </w:r>
    </w:p>
    <w:p>
      <w:pPr>
        <w:spacing w:before="120"/>
        <w:ind w:firstLine="480"/>
        <w:jc w:val="left"/>
        <w:sectPr>
          <w:headerReference r:id="rId28" w:type="default"/>
          <w:pgSz w:w="11906" w:h="16838"/>
          <w:pgMar w:top="1440" w:right="1800" w:bottom="1440" w:left="1800" w:header="708" w:footer="708" w:gutter="0"/>
          <w:pgBorders>
            <w:top w:val="none" w:sz="0" w:space="0"/>
            <w:left w:val="none" w:sz="0" w:space="0"/>
            <w:bottom w:val="none" w:sz="0" w:space="0"/>
            <w:right w:val="none" w:sz="0" w:space="0"/>
          </w:pgBorders>
          <w:pgNumType w:fmt="numberInDash"/>
          <w:cols w:space="708" w:num="1"/>
          <w:docGrid w:linePitch="381" w:charSpace="0"/>
        </w:sectPr>
      </w:pPr>
    </w:p>
    <w:p>
      <w:pPr>
        <w:pStyle w:val="3"/>
      </w:pPr>
      <w:bookmarkStart w:id="238" w:name="_Toc505007946"/>
      <w:bookmarkStart w:id="239" w:name="_Toc514770161"/>
      <w:bookmarkStart w:id="240" w:name="_Toc32658"/>
      <w:bookmarkStart w:id="241" w:name="_Toc510621524"/>
      <w:bookmarkStart w:id="242" w:name="_Toc515873377"/>
      <w:r>
        <w:t>附件及附图</w:t>
      </w:r>
      <w:bookmarkEnd w:id="238"/>
      <w:bookmarkEnd w:id="239"/>
      <w:bookmarkEnd w:id="240"/>
      <w:bookmarkEnd w:id="241"/>
      <w:bookmarkEnd w:id="242"/>
    </w:p>
    <w:p>
      <w:pPr>
        <w:pStyle w:val="2"/>
        <w:spacing w:before="120" w:after="120"/>
        <w:ind w:firstLine="0" w:firstLineChars="0"/>
        <w:rPr>
          <w:b/>
          <w:bCs/>
        </w:rPr>
      </w:pPr>
      <w:bookmarkStart w:id="243" w:name="_Toc514770162"/>
      <w:bookmarkStart w:id="244" w:name="_Toc515873378"/>
      <w:bookmarkStart w:id="245" w:name="_Toc510621525"/>
      <w:bookmarkStart w:id="246" w:name="_Toc23725"/>
      <w:r>
        <w:rPr>
          <w:rFonts w:hint="eastAsia"/>
          <w:b/>
          <w:bCs/>
        </w:rPr>
        <w:t xml:space="preserve">8.1  </w:t>
      </w:r>
      <w:r>
        <w:rPr>
          <w:b/>
          <w:bCs/>
        </w:rPr>
        <w:t>附件</w:t>
      </w:r>
      <w:bookmarkEnd w:id="243"/>
      <w:bookmarkEnd w:id="244"/>
      <w:bookmarkEnd w:id="245"/>
      <w:bookmarkEnd w:id="246"/>
    </w:p>
    <w:p>
      <w:pPr>
        <w:spacing w:before="120"/>
        <w:ind w:firstLine="480"/>
      </w:pPr>
      <w:r>
        <w:t>（1）项目</w:t>
      </w:r>
      <w:r>
        <w:rPr>
          <w:rFonts w:hint="eastAsia"/>
          <w:lang w:val="en-US" w:eastAsia="zh-CN"/>
        </w:rPr>
        <w:t>可研</w:t>
      </w:r>
      <w:r>
        <w:rPr>
          <w:rFonts w:hint="eastAsia"/>
        </w:rPr>
        <w:t>批复（</w:t>
      </w:r>
      <w:r>
        <w:rPr>
          <w:kern w:val="0"/>
        </w:rPr>
        <w:t>甘</w:t>
      </w:r>
      <w:r>
        <w:rPr>
          <w:rFonts w:hint="eastAsia"/>
          <w:kern w:val="0"/>
          <w:lang w:val="en-US" w:eastAsia="zh-CN"/>
        </w:rPr>
        <w:t>电发展</w:t>
      </w:r>
      <w:r>
        <w:rPr>
          <w:kern w:val="0"/>
        </w:rPr>
        <w:t>[2019]</w:t>
      </w:r>
      <w:r>
        <w:rPr>
          <w:rFonts w:hint="eastAsia"/>
          <w:kern w:val="0"/>
          <w:lang w:val="en-US" w:eastAsia="zh-CN"/>
        </w:rPr>
        <w:t>37</w:t>
      </w:r>
      <w:r>
        <w:rPr>
          <w:kern w:val="0"/>
        </w:rPr>
        <w:t>号</w:t>
      </w:r>
      <w:r>
        <w:rPr>
          <w:rFonts w:hint="eastAsia"/>
        </w:rPr>
        <w:t>）</w:t>
      </w:r>
      <w:r>
        <w:t>；</w:t>
      </w:r>
    </w:p>
    <w:p>
      <w:pPr>
        <w:spacing w:before="120"/>
        <w:ind w:firstLine="480"/>
      </w:pPr>
      <w:r>
        <w:t>（</w:t>
      </w:r>
      <w:r>
        <w:rPr>
          <w:rFonts w:hint="eastAsia"/>
        </w:rPr>
        <w:t>2</w:t>
      </w:r>
      <w:r>
        <w:t>）《</w:t>
      </w:r>
      <w:r>
        <w:rPr>
          <w:rFonts w:hint="eastAsia"/>
          <w:lang w:val="en-US" w:eastAsia="zh-CN"/>
        </w:rPr>
        <w:t>康定市</w:t>
      </w:r>
      <w:r>
        <w:t>生产建设项目水土保持方案报告表</w:t>
      </w:r>
      <w:r>
        <w:rPr>
          <w:rFonts w:hint="eastAsia"/>
        </w:rPr>
        <w:t>行政</w:t>
      </w:r>
      <w:r>
        <w:t>许可决定书》（</w:t>
      </w:r>
      <w:r>
        <w:rPr>
          <w:rFonts w:hint="eastAsia"/>
          <w:lang w:val="en-US" w:eastAsia="zh-CN"/>
        </w:rPr>
        <w:t>康水利</w:t>
      </w:r>
      <w:r>
        <w:t>[20</w:t>
      </w:r>
      <w:r>
        <w:rPr>
          <w:rFonts w:hint="eastAsia"/>
          <w:lang w:val="en-US" w:eastAsia="zh-CN"/>
        </w:rPr>
        <w:t>20</w:t>
      </w:r>
      <w:r>
        <w:t>]</w:t>
      </w:r>
      <w:r>
        <w:rPr>
          <w:rFonts w:hint="eastAsia"/>
          <w:lang w:val="en-US" w:eastAsia="zh-CN"/>
        </w:rPr>
        <w:t>102</w:t>
      </w:r>
      <w:r>
        <w:t>号）；</w:t>
      </w:r>
    </w:p>
    <w:p>
      <w:pPr>
        <w:spacing w:before="120"/>
        <w:ind w:firstLine="480"/>
      </w:pPr>
      <w:r>
        <w:t>（</w:t>
      </w:r>
      <w:r>
        <w:rPr>
          <w:rFonts w:hint="eastAsia"/>
        </w:rPr>
        <w:t>3</w:t>
      </w:r>
      <w:r>
        <w:t>）重要水土保持单位工程验收照片；</w:t>
      </w:r>
    </w:p>
    <w:p>
      <w:pPr>
        <w:spacing w:before="120"/>
        <w:ind w:firstLine="480"/>
      </w:pPr>
      <w:r>
        <w:rPr>
          <w:rFonts w:hint="eastAsia"/>
        </w:rPr>
        <w:t>（4）补偿费缴纳</w:t>
      </w:r>
      <w:r>
        <w:rPr>
          <w:rFonts w:hint="eastAsia"/>
          <w:lang w:val="en-US" w:eastAsia="zh-CN"/>
        </w:rPr>
        <w:t>银行回单</w:t>
      </w:r>
      <w:r>
        <w:rPr>
          <w:rFonts w:hint="eastAsia"/>
          <w:lang w:eastAsia="zh-CN"/>
        </w:rPr>
        <w:t>。</w:t>
      </w:r>
    </w:p>
    <w:p>
      <w:pPr>
        <w:pStyle w:val="2"/>
        <w:spacing w:before="120" w:after="120"/>
        <w:ind w:firstLine="0" w:firstLineChars="0"/>
        <w:rPr>
          <w:b/>
          <w:bCs/>
        </w:rPr>
      </w:pPr>
      <w:bookmarkStart w:id="247" w:name="_Toc15646"/>
      <w:bookmarkStart w:id="248" w:name="_Toc514770163"/>
      <w:bookmarkStart w:id="249" w:name="_Toc510621526"/>
      <w:bookmarkStart w:id="250" w:name="_Toc515873379"/>
      <w:r>
        <w:rPr>
          <w:rFonts w:hint="eastAsia"/>
          <w:b/>
          <w:bCs/>
        </w:rPr>
        <w:t>8.2  附图</w:t>
      </w:r>
      <w:bookmarkEnd w:id="247"/>
      <w:bookmarkEnd w:id="248"/>
      <w:bookmarkEnd w:id="249"/>
      <w:bookmarkEnd w:id="250"/>
    </w:p>
    <w:p>
      <w:pPr>
        <w:spacing w:before="120"/>
        <w:ind w:firstLine="480"/>
      </w:pPr>
      <w:r>
        <w:t>（1）地理位置图</w:t>
      </w:r>
      <w:r>
        <w:rPr>
          <w:rFonts w:hint="eastAsia"/>
          <w:lang w:eastAsia="zh-CN"/>
        </w:rPr>
        <w:t>。</w:t>
      </w:r>
    </w:p>
    <w:p>
      <w:pPr>
        <w:spacing w:before="120"/>
        <w:ind w:firstLine="480"/>
      </w:pPr>
    </w:p>
    <w:sectPr>
      <w:headerReference r:id="rId29" w:type="default"/>
      <w:pgSz w:w="11906" w:h="16838"/>
      <w:pgMar w:top="1440" w:right="1800" w:bottom="1440" w:left="1800" w:header="708" w:footer="708" w:gutter="0"/>
      <w:pgBorders>
        <w:top w:val="none" w:sz="0" w:space="0"/>
        <w:left w:val="none" w:sz="0" w:space="0"/>
        <w:bottom w:val="none" w:sz="0" w:space="0"/>
        <w:right w:val="none" w:sz="0" w:space="0"/>
      </w:pgBorders>
      <w:pgNumType w:fmt="numberInDash"/>
      <w:cols w:space="708" w:num="1"/>
      <w:docGrid w:linePitch="381" w:charSpace="0"/>
    </w:sectPr>
  </w:body>
</w:document>
</file>

<file path=word/customizations.xml><?xml version="1.0" encoding="utf-8"?>
<wne:tcg xmlns:r="http://schemas.openxmlformats.org/officeDocument/2006/relationships" xmlns:wne="http://schemas.microsoft.com/office/word/2006/wordml">
  <wne:keymaps>
    <wne:keymap wne:kcmPrimary="0434">
      <wne:acd wne:acdName="acd0"/>
    </wne:keymap>
    <wne:keymap wne:kcmPrimary="0441">
      <wne:acd wne:acdName="acd1"/>
    </wne:keymap>
    <wne:keymap wne:kcmPrimary="0451">
      <wne:acd wne:acdName="acd2"/>
    </wne:keymap>
    <wne:keymap wne:kcmPrimary="0452">
      <wne:acd wne:acdName="acd3"/>
    </wne:keymap>
  </wne:keymaps>
  <wne:acds>
    <wne:acd wne:argValue="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" wne:acdName="acd0" wne:fciIndexBasedOn="0065"/>
    <wne:acd wne:argValue="AQAAAAAA" wne:acdName="acd1" wne:fciIndexBasedOn="0065"/>
    <wne:acd wne:argValue="AgAVXyh1LABja4dlMQA=" wne:acdName="acd2" wne:fciIndexBasedOn="0065"/>
    <wne:acd wne:argValue="AgBoiA==" wne:acdName="acd3" wne:fciIndexBasedOn="0065"/>
  </wne:acd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金山简魏碑">
    <w:altName w:val="Times New Roman"/>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方正北魏楷书简体">
    <w:altName w:val="黑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120"/>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15242"/>
    </w:sdtPr>
    <w:sdtContent>
      <w:p>
        <w:pPr>
          <w:pStyle w:val="23"/>
          <w:pBdr>
            <w:top w:val="single" w:color="auto" w:sz="4" w:space="1"/>
          </w:pBdr>
          <w:spacing w:before="120"/>
          <w:ind w:firstLine="0" w:firstLineChars="0"/>
          <w:jc w:val="center"/>
        </w:pPr>
        <w:r>
          <w:pict>
            <v:shape id="_x0000_s41986" o:spid="_x0000_s41986" o:spt="202" type="#_x0000_t202" style="position:absolute;left:0pt;margin-left:269.7pt;margin-top:-0.6pt;height:23.5pt;width:234.2pt;z-index:251658240;mso-width-relative:page;mso-height-relative:page;" filled="f" stroked="f" coordsize="21600,21600">
              <v:path/>
              <v:fill on="f" focussize="0,0"/>
              <v:stroke on="f" joinstyle="miter"/>
              <v:imagedata o:title=""/>
              <o:lock v:ext="edit"/>
              <v:textbox>
                <w:txbxContent>
                  <w:p>
                    <w:pPr>
                      <w:spacing w:before="120"/>
                      <w:ind w:left="0" w:leftChars="0" w:firstLine="180" w:firstLineChars="100"/>
                      <w:rPr>
                        <w:szCs w:val="18"/>
                      </w:rPr>
                    </w:pPr>
                    <w:r>
                      <w:rPr>
                        <w:rFonts w:hint="eastAsia" w:cs="Times New Roman"/>
                        <w:color w:val="auto"/>
                        <w:sz w:val="18"/>
                      </w:rPr>
                      <w:t>成都浚川工程设计咨询有限公司</w:t>
                    </w:r>
                  </w:p>
                </w:txbxContent>
              </v:textbox>
            </v:shape>
          </w:pict>
        </w:r>
        <w:r>
          <w:fldChar w:fldCharType="begin"/>
        </w:r>
        <w:r>
          <w:instrText xml:space="preserve"> PAGE   \* MERGEFORMAT </w:instrText>
        </w:r>
        <w:r>
          <w:fldChar w:fldCharType="separate"/>
        </w:r>
        <w:r>
          <w:rPr>
            <w:lang w:val="zh-CN"/>
          </w:rPr>
          <w:t>-</w:t>
        </w:r>
        <w:r>
          <w:t xml:space="preserve"> 45 -</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120"/>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15238"/>
    </w:sdtPr>
    <w:sdtContent>
      <w:p>
        <w:pPr>
          <w:pStyle w:val="23"/>
          <w:spacing w:before="120"/>
          <w:ind w:firstLine="360"/>
          <w:jc w:val="center"/>
        </w:pPr>
      </w:p>
    </w:sdtContent>
  </w:sdt>
  <w:p>
    <w:pPr>
      <w:pStyle w:val="23"/>
      <w:spacing w:before="120"/>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15239"/>
    </w:sdtPr>
    <w:sdtContent>
      <w:p>
        <w:pPr>
          <w:pStyle w:val="23"/>
          <w:spacing w:before="120"/>
          <w:ind w:firstLine="360"/>
          <w:jc w:val="center"/>
        </w:pPr>
        <w:r>
          <w:fldChar w:fldCharType="begin"/>
        </w:r>
        <w:r>
          <w:instrText xml:space="preserve"> PAGE   \* MERGEFORMAT </w:instrText>
        </w:r>
        <w:r>
          <w:fldChar w:fldCharType="separate"/>
        </w:r>
        <w:r>
          <w:rPr>
            <w:lang w:val="zh-CN"/>
          </w:rPr>
          <w:t>III</w:t>
        </w:r>
        <w:r>
          <w:rPr>
            <w:lang w:val="zh-CN"/>
          </w:rPr>
          <w:fldChar w:fldCharType="end"/>
        </w:r>
      </w:p>
    </w:sdtContent>
  </w:sdt>
  <w:p>
    <w:pPr>
      <w:pStyle w:val="23"/>
      <w:spacing w:before="120"/>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120"/>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spacing w:before="120"/>
      <w:ind w:firstLine="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15240"/>
    </w:sdtPr>
    <w:sdtContent>
      <w:p>
        <w:pPr>
          <w:pStyle w:val="23"/>
          <w:spacing w:before="120"/>
          <w:ind w:firstLine="360"/>
          <w:jc w:val="center"/>
        </w:pPr>
        <w:r>
          <w:fldChar w:fldCharType="begin"/>
        </w:r>
        <w:r>
          <w:instrText xml:space="preserve"> PAGE   \* MERGEFORMAT </w:instrText>
        </w:r>
        <w:r>
          <w:fldChar w:fldCharType="separate"/>
        </w:r>
        <w:r>
          <w:rPr>
            <w:lang w:val="zh-CN"/>
          </w:rPr>
          <w:t>IV</w:t>
        </w:r>
        <w:r>
          <w:rPr>
            <w:lang w:val="zh-CN"/>
          </w:rP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615241"/>
    </w:sdtPr>
    <w:sdtContent>
      <w:p>
        <w:pPr>
          <w:pStyle w:val="23"/>
          <w:spacing w:before="120"/>
          <w:ind w:firstLine="0" w:firstLineChars="0"/>
          <w:jc w:val="center"/>
        </w:pPr>
        <w:r>
          <w:fldChar w:fldCharType="begin"/>
        </w:r>
        <w:r>
          <w:instrText xml:space="preserve"> PAGE   \* MERGEFORMAT </w:instrText>
        </w:r>
        <w:r>
          <w:fldChar w:fldCharType="separate"/>
        </w:r>
        <w:r>
          <w:rPr>
            <w:lang w:val="zh-CN"/>
          </w:rPr>
          <w:t>2</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spacing w:before="120"/>
      <w:ind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0" w:firstLineChars="0"/>
    </w:pPr>
    <w:r>
      <w:rPr>
        <w:rFonts w:hint="eastAsia"/>
      </w:rPr>
      <w:t>1 项目及项目区概况</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0" w:firstLineChars="0"/>
    </w:pPr>
    <w:r>
      <w:rPr>
        <w:rFonts w:hint="eastAsia"/>
      </w:rPr>
      <w:t>2 水土保持方案和设计情况</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0" w:firstLineChars="0"/>
    </w:pPr>
    <w:r>
      <w:rPr>
        <w:rFonts w:hint="eastAsia"/>
      </w:rPr>
      <w:t>3 水土保持方案实施情况</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0" w:firstLineChars="0"/>
    </w:pPr>
    <w:r>
      <w:rPr>
        <w:rFonts w:hint="eastAsia"/>
      </w:rPr>
      <w:t>4 水土保持工程质量</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0" w:firstLineChars="0"/>
    </w:pPr>
    <w:r>
      <w:rPr>
        <w:rFonts w:hint="eastAsia"/>
      </w:rPr>
      <w:t>5 项目初期运行及水土保持效果</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0" w:firstLineChars="0"/>
    </w:pPr>
    <w:r>
      <w:rPr>
        <w:rFonts w:hint="eastAsia"/>
      </w:rPr>
      <w:t>6 水土保持管理</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0" w:firstLineChars="0"/>
    </w:pPr>
    <w:r>
      <w:rPr>
        <w:rFonts w:hint="eastAsia"/>
      </w:rPr>
      <w:t>7 结论</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0" w:firstLineChars="0"/>
    </w:pPr>
    <w:r>
      <w:rPr>
        <w:rFonts w:hint="eastAsia"/>
      </w:rPr>
      <w:t>8 附件及附图</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spacing w:before="120"/>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Chars="111"/>
    </w:pPr>
    <w:r>
      <w:rPr>
        <w:rFonts w:hint="eastAsia"/>
      </w:rPr>
      <w:t>前 言</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ind w:firstLine="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single" w:color="auto" w:sz="4" w:space="1"/>
      </w:pBdr>
      <w:spacing w:before="120" w:line="240" w:lineRule="auto"/>
      <w:ind w:firstLine="0" w:firstLineChars="0"/>
    </w:pPr>
    <w:r>
      <w:t>水土保持设施</w:t>
    </w:r>
    <w:r>
      <w:rPr>
        <w:rFonts w:hint="eastAsia"/>
        <w:lang w:eastAsia="zh-CN"/>
      </w:rPr>
      <w:t>完工</w:t>
    </w:r>
    <w:r>
      <w:t>验收特性表</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thinThickSmallGap" w:color="auto" w:sz="18" w:space="1"/>
      </w:pBdr>
      <w:spacing w:before="120" w:line="240" w:lineRule="auto"/>
      <w:ind w:firstLine="180" w:firstLineChars="100"/>
    </w:pPr>
    <w:r>
      <w:rPr>
        <w:rFonts w:hint="eastAsia"/>
      </w:rPr>
      <w:t>目录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7780AC"/>
    <w:multiLevelType w:val="singleLevel"/>
    <w:tmpl w:val="E87780AC"/>
    <w:lvl w:ilvl="0" w:tentative="0">
      <w:start w:val="1"/>
      <w:numFmt w:val="decimal"/>
      <w:suff w:val="nothing"/>
      <w:lvlText w:val="%1、"/>
      <w:lvlJc w:val="left"/>
    </w:lvl>
  </w:abstractNum>
  <w:abstractNum w:abstractNumId="1">
    <w:nsid w:val="191E4CC2"/>
    <w:multiLevelType w:val="multilevel"/>
    <w:tmpl w:val="191E4CC2"/>
    <w:lvl w:ilvl="0" w:tentative="0">
      <w:start w:val="1"/>
      <w:numFmt w:val="decimal"/>
      <w:pStyle w:val="3"/>
      <w:lvlText w:val="%1"/>
      <w:lvlJc w:val="left"/>
      <w:pPr>
        <w:ind w:left="432" w:hanging="432"/>
      </w:pPr>
      <w:rPr>
        <w:rFonts w:hint="eastAsia"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Cs w:val="0"/>
        <w:u w:val="none"/>
        <w:vertAlign w:val="baseline"/>
      </w:rPr>
    </w:lvl>
    <w:lvl w:ilvl="1" w:tentative="0">
      <w:start w:val="1"/>
      <w:numFmt w:val="decimal"/>
      <w:lvlText w:val="%1.%2"/>
      <w:lvlJc w:val="left"/>
      <w:pPr>
        <w:ind w:left="576" w:hanging="576"/>
      </w:pPr>
      <w:rPr>
        <w:rFonts w:hint="eastAsia"/>
      </w:rPr>
    </w:lvl>
    <w:lvl w:ilvl="2" w:tentative="0">
      <w:start w:val="1"/>
      <w:numFmt w:val="decimal"/>
      <w:pStyle w:val="4"/>
      <w:lvlText w:val="%1.%2.%3"/>
      <w:lvlJc w:val="left"/>
      <w:pPr>
        <w:ind w:left="1287"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abstractNum w:abstractNumId="2">
    <w:nsid w:val="5652872F"/>
    <w:multiLevelType w:val="singleLevel"/>
    <w:tmpl w:val="5652872F"/>
    <w:lvl w:ilvl="0" w:tentative="0">
      <w:start w:val="1"/>
      <w:numFmt w:val="decimal"/>
      <w:suff w:val="nothing"/>
      <w:lvlText w:val="（%1）"/>
      <w:lvlJc w:val="left"/>
    </w:lvl>
  </w:abstractNum>
  <w:abstractNum w:abstractNumId="3">
    <w:nsid w:val="56A707E2"/>
    <w:multiLevelType w:val="singleLevel"/>
    <w:tmpl w:val="56A707E2"/>
    <w:lvl w:ilvl="0" w:tentative="0">
      <w:start w:val="1"/>
      <w:numFmt w:val="decimal"/>
      <w:suff w:val="nothing"/>
      <w:lvlText w:val="%1、"/>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doNotDisplayPageBoundaries w:val="1"/>
  <w:bordersDoNotSurroundHeader w:val="1"/>
  <w:bordersDoNotSurroundFooter w:val="1"/>
  <w:hideSpellingErrors/>
  <w:documentProtection w:enforcement="0"/>
  <w:defaultTabStop w:val="720"/>
  <w:drawingGridHorizontalSpacing w:val="120"/>
  <w:displayHorizontalDrawingGridEvery w:val="0"/>
  <w:displayVerticalDrawingGridEvery w:val="2"/>
  <w:characterSpacingControl w:val="doNotCompress"/>
  <w:hdrShapeDefaults>
    <o:shapelayout v:ext="edit">
      <o:idmap v:ext="edit" data="41"/>
    </o:shapelayout>
  </w:hdrShapeDefaults>
  <w:compat>
    <w:balanceSingleByteDoubleByteWidth/>
    <w:doNotExpandShiftReturn/>
    <w:adjustLineHeightInTable/>
    <w:useFELayout/>
    <w:doNotUseIndentAsNumberingTabStop/>
    <w:useAltKinsokuLineBreakRules/>
    <w:compatSetting w:name="compatibilityMode" w:uri="http://schemas.microsoft.com/office/word" w:val="12"/>
  </w:compat>
  <w:rsids>
    <w:rsidRoot w:val="00D31D50"/>
    <w:rsid w:val="000006E0"/>
    <w:rsid w:val="00000918"/>
    <w:rsid w:val="0000544E"/>
    <w:rsid w:val="000110D8"/>
    <w:rsid w:val="00012654"/>
    <w:rsid w:val="000159BC"/>
    <w:rsid w:val="00015AD0"/>
    <w:rsid w:val="00016FAB"/>
    <w:rsid w:val="0002396C"/>
    <w:rsid w:val="00025CD6"/>
    <w:rsid w:val="00025D06"/>
    <w:rsid w:val="00032949"/>
    <w:rsid w:val="0003331D"/>
    <w:rsid w:val="00035374"/>
    <w:rsid w:val="00036730"/>
    <w:rsid w:val="00037A30"/>
    <w:rsid w:val="00053451"/>
    <w:rsid w:val="000538AD"/>
    <w:rsid w:val="00057E8E"/>
    <w:rsid w:val="0006045F"/>
    <w:rsid w:val="00062F08"/>
    <w:rsid w:val="000649B7"/>
    <w:rsid w:val="00066071"/>
    <w:rsid w:val="000711D6"/>
    <w:rsid w:val="000711EA"/>
    <w:rsid w:val="00073B1E"/>
    <w:rsid w:val="000763F9"/>
    <w:rsid w:val="00085937"/>
    <w:rsid w:val="00087DE4"/>
    <w:rsid w:val="000914B7"/>
    <w:rsid w:val="000917F9"/>
    <w:rsid w:val="0009180E"/>
    <w:rsid w:val="00091908"/>
    <w:rsid w:val="000923BE"/>
    <w:rsid w:val="000924D6"/>
    <w:rsid w:val="000A29AE"/>
    <w:rsid w:val="000B0869"/>
    <w:rsid w:val="000B0DD1"/>
    <w:rsid w:val="000B2526"/>
    <w:rsid w:val="000C063B"/>
    <w:rsid w:val="000C1046"/>
    <w:rsid w:val="000C5FA1"/>
    <w:rsid w:val="000C65E6"/>
    <w:rsid w:val="000C67FB"/>
    <w:rsid w:val="000C7169"/>
    <w:rsid w:val="000C767A"/>
    <w:rsid w:val="000D230E"/>
    <w:rsid w:val="000E2DA6"/>
    <w:rsid w:val="000E51F1"/>
    <w:rsid w:val="000E56FD"/>
    <w:rsid w:val="000F23E5"/>
    <w:rsid w:val="000F3843"/>
    <w:rsid w:val="000F4778"/>
    <w:rsid w:val="000F494B"/>
    <w:rsid w:val="000F6345"/>
    <w:rsid w:val="000F6C27"/>
    <w:rsid w:val="001008E4"/>
    <w:rsid w:val="00105C04"/>
    <w:rsid w:val="001060C2"/>
    <w:rsid w:val="001060EC"/>
    <w:rsid w:val="001064B0"/>
    <w:rsid w:val="00107330"/>
    <w:rsid w:val="001122E2"/>
    <w:rsid w:val="00122ECC"/>
    <w:rsid w:val="001263F2"/>
    <w:rsid w:val="001300DA"/>
    <w:rsid w:val="00130845"/>
    <w:rsid w:val="00131FB4"/>
    <w:rsid w:val="00140485"/>
    <w:rsid w:val="0014383F"/>
    <w:rsid w:val="001447DF"/>
    <w:rsid w:val="00146BD5"/>
    <w:rsid w:val="00151B62"/>
    <w:rsid w:val="00155D38"/>
    <w:rsid w:val="00155ED6"/>
    <w:rsid w:val="001601A2"/>
    <w:rsid w:val="001702C8"/>
    <w:rsid w:val="001734E5"/>
    <w:rsid w:val="001812AB"/>
    <w:rsid w:val="001823A8"/>
    <w:rsid w:val="00190975"/>
    <w:rsid w:val="00191E06"/>
    <w:rsid w:val="00193104"/>
    <w:rsid w:val="001941F2"/>
    <w:rsid w:val="00196295"/>
    <w:rsid w:val="001A212C"/>
    <w:rsid w:val="001A6E6D"/>
    <w:rsid w:val="001B2FD1"/>
    <w:rsid w:val="001B38C7"/>
    <w:rsid w:val="001B46A7"/>
    <w:rsid w:val="001B574E"/>
    <w:rsid w:val="001B5EE1"/>
    <w:rsid w:val="001C3D94"/>
    <w:rsid w:val="001C6479"/>
    <w:rsid w:val="001C761D"/>
    <w:rsid w:val="001C7E9A"/>
    <w:rsid w:val="001D2D52"/>
    <w:rsid w:val="001E130D"/>
    <w:rsid w:val="001E4D16"/>
    <w:rsid w:val="001E7C5D"/>
    <w:rsid w:val="001E7F02"/>
    <w:rsid w:val="001F07A5"/>
    <w:rsid w:val="001F121B"/>
    <w:rsid w:val="001F557A"/>
    <w:rsid w:val="0020043D"/>
    <w:rsid w:val="00200ABE"/>
    <w:rsid w:val="00204E71"/>
    <w:rsid w:val="002058FF"/>
    <w:rsid w:val="00214D7A"/>
    <w:rsid w:val="00216144"/>
    <w:rsid w:val="002172F0"/>
    <w:rsid w:val="00222726"/>
    <w:rsid w:val="002303EF"/>
    <w:rsid w:val="00231774"/>
    <w:rsid w:val="00244C64"/>
    <w:rsid w:val="00250559"/>
    <w:rsid w:val="00250691"/>
    <w:rsid w:val="00251906"/>
    <w:rsid w:val="002521B1"/>
    <w:rsid w:val="00257377"/>
    <w:rsid w:val="00260189"/>
    <w:rsid w:val="00260879"/>
    <w:rsid w:val="002612D9"/>
    <w:rsid w:val="00263CBB"/>
    <w:rsid w:val="002669C2"/>
    <w:rsid w:val="00273FF6"/>
    <w:rsid w:val="00275C1A"/>
    <w:rsid w:val="00277271"/>
    <w:rsid w:val="002867E8"/>
    <w:rsid w:val="00286F09"/>
    <w:rsid w:val="00287456"/>
    <w:rsid w:val="00287DB0"/>
    <w:rsid w:val="00294630"/>
    <w:rsid w:val="00294DAD"/>
    <w:rsid w:val="002956AA"/>
    <w:rsid w:val="002A0CC2"/>
    <w:rsid w:val="002A496C"/>
    <w:rsid w:val="002A58EB"/>
    <w:rsid w:val="002A76F4"/>
    <w:rsid w:val="002B2E52"/>
    <w:rsid w:val="002C7419"/>
    <w:rsid w:val="002D008A"/>
    <w:rsid w:val="002D254D"/>
    <w:rsid w:val="002D46F0"/>
    <w:rsid w:val="002E1F2D"/>
    <w:rsid w:val="002E3D2A"/>
    <w:rsid w:val="002E5CC1"/>
    <w:rsid w:val="002E7ECF"/>
    <w:rsid w:val="002F78A5"/>
    <w:rsid w:val="00300CBD"/>
    <w:rsid w:val="003053E0"/>
    <w:rsid w:val="00306BCD"/>
    <w:rsid w:val="00310E36"/>
    <w:rsid w:val="00314807"/>
    <w:rsid w:val="003148D9"/>
    <w:rsid w:val="0031650B"/>
    <w:rsid w:val="00316BD7"/>
    <w:rsid w:val="00320F99"/>
    <w:rsid w:val="003214DA"/>
    <w:rsid w:val="00322068"/>
    <w:rsid w:val="00323793"/>
    <w:rsid w:val="00323B43"/>
    <w:rsid w:val="00332985"/>
    <w:rsid w:val="003426CC"/>
    <w:rsid w:val="0034412D"/>
    <w:rsid w:val="003443EF"/>
    <w:rsid w:val="00344CF1"/>
    <w:rsid w:val="00346FF1"/>
    <w:rsid w:val="00350002"/>
    <w:rsid w:val="00355D3E"/>
    <w:rsid w:val="0036334F"/>
    <w:rsid w:val="00365ED1"/>
    <w:rsid w:val="0036611E"/>
    <w:rsid w:val="00370288"/>
    <w:rsid w:val="003733B5"/>
    <w:rsid w:val="00380926"/>
    <w:rsid w:val="00381264"/>
    <w:rsid w:val="00382B34"/>
    <w:rsid w:val="00384503"/>
    <w:rsid w:val="00385539"/>
    <w:rsid w:val="00385AD4"/>
    <w:rsid w:val="0039094C"/>
    <w:rsid w:val="00391242"/>
    <w:rsid w:val="003918F7"/>
    <w:rsid w:val="00392516"/>
    <w:rsid w:val="00393248"/>
    <w:rsid w:val="00393BE9"/>
    <w:rsid w:val="003A2D1D"/>
    <w:rsid w:val="003A3CAF"/>
    <w:rsid w:val="003A5179"/>
    <w:rsid w:val="003A600A"/>
    <w:rsid w:val="003B1C87"/>
    <w:rsid w:val="003B639C"/>
    <w:rsid w:val="003C45CB"/>
    <w:rsid w:val="003C47A3"/>
    <w:rsid w:val="003C6DEA"/>
    <w:rsid w:val="003C76A1"/>
    <w:rsid w:val="003D1516"/>
    <w:rsid w:val="003D2ACC"/>
    <w:rsid w:val="003D37D8"/>
    <w:rsid w:val="003E04C4"/>
    <w:rsid w:val="003E26D7"/>
    <w:rsid w:val="003F1448"/>
    <w:rsid w:val="003F2EE2"/>
    <w:rsid w:val="003F39FE"/>
    <w:rsid w:val="00401049"/>
    <w:rsid w:val="004069F3"/>
    <w:rsid w:val="00412D98"/>
    <w:rsid w:val="004205EC"/>
    <w:rsid w:val="0042278A"/>
    <w:rsid w:val="00424738"/>
    <w:rsid w:val="00424FBE"/>
    <w:rsid w:val="00425DC2"/>
    <w:rsid w:val="00426133"/>
    <w:rsid w:val="004278EE"/>
    <w:rsid w:val="00427936"/>
    <w:rsid w:val="00434328"/>
    <w:rsid w:val="004358AB"/>
    <w:rsid w:val="00437C2C"/>
    <w:rsid w:val="00441DFB"/>
    <w:rsid w:val="00443FD0"/>
    <w:rsid w:val="00444913"/>
    <w:rsid w:val="00451C22"/>
    <w:rsid w:val="004568A3"/>
    <w:rsid w:val="004568B4"/>
    <w:rsid w:val="0046419C"/>
    <w:rsid w:val="00466AD3"/>
    <w:rsid w:val="00467265"/>
    <w:rsid w:val="00471557"/>
    <w:rsid w:val="004743EA"/>
    <w:rsid w:val="00477EE2"/>
    <w:rsid w:val="0049042A"/>
    <w:rsid w:val="0049113A"/>
    <w:rsid w:val="004A088F"/>
    <w:rsid w:val="004A0AD4"/>
    <w:rsid w:val="004A582A"/>
    <w:rsid w:val="004A7DED"/>
    <w:rsid w:val="004B4E07"/>
    <w:rsid w:val="004B6677"/>
    <w:rsid w:val="004B7E14"/>
    <w:rsid w:val="004C05C5"/>
    <w:rsid w:val="004C1E7F"/>
    <w:rsid w:val="004C2904"/>
    <w:rsid w:val="004C3E5D"/>
    <w:rsid w:val="004C613D"/>
    <w:rsid w:val="004C7C1F"/>
    <w:rsid w:val="004D0987"/>
    <w:rsid w:val="004D38CF"/>
    <w:rsid w:val="004D4BDC"/>
    <w:rsid w:val="004D4EE4"/>
    <w:rsid w:val="004D5503"/>
    <w:rsid w:val="004E105F"/>
    <w:rsid w:val="004E1A63"/>
    <w:rsid w:val="004E5E22"/>
    <w:rsid w:val="004E637D"/>
    <w:rsid w:val="004E6F49"/>
    <w:rsid w:val="004F358A"/>
    <w:rsid w:val="004F4A59"/>
    <w:rsid w:val="00507C27"/>
    <w:rsid w:val="00507D27"/>
    <w:rsid w:val="0051149F"/>
    <w:rsid w:val="00512F4B"/>
    <w:rsid w:val="00513A35"/>
    <w:rsid w:val="005148DF"/>
    <w:rsid w:val="00514E52"/>
    <w:rsid w:val="00520E79"/>
    <w:rsid w:val="005244FF"/>
    <w:rsid w:val="00526F6F"/>
    <w:rsid w:val="00527108"/>
    <w:rsid w:val="00530C54"/>
    <w:rsid w:val="00536854"/>
    <w:rsid w:val="00541C9A"/>
    <w:rsid w:val="00542262"/>
    <w:rsid w:val="00542544"/>
    <w:rsid w:val="00543918"/>
    <w:rsid w:val="00545DFE"/>
    <w:rsid w:val="00551680"/>
    <w:rsid w:val="00554231"/>
    <w:rsid w:val="005607D5"/>
    <w:rsid w:val="00560DF3"/>
    <w:rsid w:val="00561C2F"/>
    <w:rsid w:val="0056224A"/>
    <w:rsid w:val="00572DF6"/>
    <w:rsid w:val="005730A3"/>
    <w:rsid w:val="00575407"/>
    <w:rsid w:val="00576A51"/>
    <w:rsid w:val="00577335"/>
    <w:rsid w:val="00584EDF"/>
    <w:rsid w:val="00590716"/>
    <w:rsid w:val="005942FB"/>
    <w:rsid w:val="005A05CC"/>
    <w:rsid w:val="005A25AD"/>
    <w:rsid w:val="005A484D"/>
    <w:rsid w:val="005A5744"/>
    <w:rsid w:val="005A6179"/>
    <w:rsid w:val="005B253A"/>
    <w:rsid w:val="005B57A3"/>
    <w:rsid w:val="005B67B0"/>
    <w:rsid w:val="005B7264"/>
    <w:rsid w:val="005C23EE"/>
    <w:rsid w:val="005C44FD"/>
    <w:rsid w:val="005C6EF8"/>
    <w:rsid w:val="005C733A"/>
    <w:rsid w:val="005C78AA"/>
    <w:rsid w:val="005D681C"/>
    <w:rsid w:val="005E13BF"/>
    <w:rsid w:val="005E1CF0"/>
    <w:rsid w:val="005F3C13"/>
    <w:rsid w:val="005F4EDA"/>
    <w:rsid w:val="005F4FD1"/>
    <w:rsid w:val="005F5E40"/>
    <w:rsid w:val="00603833"/>
    <w:rsid w:val="00603E83"/>
    <w:rsid w:val="006063C5"/>
    <w:rsid w:val="00612D4D"/>
    <w:rsid w:val="006133C8"/>
    <w:rsid w:val="006136AE"/>
    <w:rsid w:val="006159C8"/>
    <w:rsid w:val="006177BB"/>
    <w:rsid w:val="00624D6D"/>
    <w:rsid w:val="00625706"/>
    <w:rsid w:val="00627144"/>
    <w:rsid w:val="00627E1A"/>
    <w:rsid w:val="00630AF0"/>
    <w:rsid w:val="006339A5"/>
    <w:rsid w:val="00634597"/>
    <w:rsid w:val="00636003"/>
    <w:rsid w:val="00640CD6"/>
    <w:rsid w:val="00641925"/>
    <w:rsid w:val="00643F93"/>
    <w:rsid w:val="00644C43"/>
    <w:rsid w:val="00646258"/>
    <w:rsid w:val="006465F8"/>
    <w:rsid w:val="00647E6F"/>
    <w:rsid w:val="0065021E"/>
    <w:rsid w:val="006513B6"/>
    <w:rsid w:val="006569F7"/>
    <w:rsid w:val="006572C5"/>
    <w:rsid w:val="0066483C"/>
    <w:rsid w:val="00665E98"/>
    <w:rsid w:val="00667B82"/>
    <w:rsid w:val="00667C81"/>
    <w:rsid w:val="00670274"/>
    <w:rsid w:val="00672D78"/>
    <w:rsid w:val="00675E61"/>
    <w:rsid w:val="0068161A"/>
    <w:rsid w:val="00681E3E"/>
    <w:rsid w:val="00682DE1"/>
    <w:rsid w:val="00684B2A"/>
    <w:rsid w:val="00684D52"/>
    <w:rsid w:val="006868C1"/>
    <w:rsid w:val="00686D8B"/>
    <w:rsid w:val="00692046"/>
    <w:rsid w:val="00695C62"/>
    <w:rsid w:val="006963EB"/>
    <w:rsid w:val="00696EC7"/>
    <w:rsid w:val="00697FD9"/>
    <w:rsid w:val="006A0A09"/>
    <w:rsid w:val="006A1BE7"/>
    <w:rsid w:val="006A3476"/>
    <w:rsid w:val="006A39C6"/>
    <w:rsid w:val="006A5AC2"/>
    <w:rsid w:val="006B4BDD"/>
    <w:rsid w:val="006B50B6"/>
    <w:rsid w:val="006B7181"/>
    <w:rsid w:val="006B7E79"/>
    <w:rsid w:val="006C0CA7"/>
    <w:rsid w:val="006C1A79"/>
    <w:rsid w:val="006C1B39"/>
    <w:rsid w:val="006C745C"/>
    <w:rsid w:val="006D1FFD"/>
    <w:rsid w:val="006D5088"/>
    <w:rsid w:val="006D5A95"/>
    <w:rsid w:val="006D7097"/>
    <w:rsid w:val="006E09A8"/>
    <w:rsid w:val="006E0BB8"/>
    <w:rsid w:val="006E38FF"/>
    <w:rsid w:val="006E4B27"/>
    <w:rsid w:val="006F2472"/>
    <w:rsid w:val="006F3B3B"/>
    <w:rsid w:val="006F499A"/>
    <w:rsid w:val="0070158A"/>
    <w:rsid w:val="00701610"/>
    <w:rsid w:val="00701B8E"/>
    <w:rsid w:val="0070770B"/>
    <w:rsid w:val="00707BC4"/>
    <w:rsid w:val="00711197"/>
    <w:rsid w:val="00720597"/>
    <w:rsid w:val="00721B56"/>
    <w:rsid w:val="00724C14"/>
    <w:rsid w:val="00726760"/>
    <w:rsid w:val="00727E09"/>
    <w:rsid w:val="00730A20"/>
    <w:rsid w:val="0073756F"/>
    <w:rsid w:val="00753837"/>
    <w:rsid w:val="00756264"/>
    <w:rsid w:val="007602A5"/>
    <w:rsid w:val="00760C14"/>
    <w:rsid w:val="00761599"/>
    <w:rsid w:val="00761A11"/>
    <w:rsid w:val="00773A3C"/>
    <w:rsid w:val="00774BA9"/>
    <w:rsid w:val="00781503"/>
    <w:rsid w:val="007831C7"/>
    <w:rsid w:val="00783CC0"/>
    <w:rsid w:val="00785292"/>
    <w:rsid w:val="0079360F"/>
    <w:rsid w:val="007A00B1"/>
    <w:rsid w:val="007A1FA4"/>
    <w:rsid w:val="007A2DDF"/>
    <w:rsid w:val="007A4589"/>
    <w:rsid w:val="007B3844"/>
    <w:rsid w:val="007C35DB"/>
    <w:rsid w:val="007C3925"/>
    <w:rsid w:val="007C7CC4"/>
    <w:rsid w:val="007D0392"/>
    <w:rsid w:val="007D1B12"/>
    <w:rsid w:val="007D5AF3"/>
    <w:rsid w:val="007E1097"/>
    <w:rsid w:val="007F0C44"/>
    <w:rsid w:val="007F1B5B"/>
    <w:rsid w:val="007F4809"/>
    <w:rsid w:val="007F51B8"/>
    <w:rsid w:val="007F6A77"/>
    <w:rsid w:val="007F7EBE"/>
    <w:rsid w:val="00806181"/>
    <w:rsid w:val="008072F4"/>
    <w:rsid w:val="008122BF"/>
    <w:rsid w:val="00815A57"/>
    <w:rsid w:val="00815EF2"/>
    <w:rsid w:val="00816745"/>
    <w:rsid w:val="00822541"/>
    <w:rsid w:val="008322CF"/>
    <w:rsid w:val="008322E6"/>
    <w:rsid w:val="00835227"/>
    <w:rsid w:val="00840B8E"/>
    <w:rsid w:val="008415C1"/>
    <w:rsid w:val="00843003"/>
    <w:rsid w:val="00843DAE"/>
    <w:rsid w:val="00845430"/>
    <w:rsid w:val="0084745A"/>
    <w:rsid w:val="0085234C"/>
    <w:rsid w:val="00853AA6"/>
    <w:rsid w:val="00854780"/>
    <w:rsid w:val="0085710B"/>
    <w:rsid w:val="008613B9"/>
    <w:rsid w:val="00863309"/>
    <w:rsid w:val="00871565"/>
    <w:rsid w:val="00871F00"/>
    <w:rsid w:val="00872310"/>
    <w:rsid w:val="008728F4"/>
    <w:rsid w:val="008746D7"/>
    <w:rsid w:val="00874AA2"/>
    <w:rsid w:val="008758AB"/>
    <w:rsid w:val="0087612E"/>
    <w:rsid w:val="00877403"/>
    <w:rsid w:val="00880BDF"/>
    <w:rsid w:val="0088114B"/>
    <w:rsid w:val="00884268"/>
    <w:rsid w:val="00890B12"/>
    <w:rsid w:val="008924F7"/>
    <w:rsid w:val="008955F7"/>
    <w:rsid w:val="008A347E"/>
    <w:rsid w:val="008A4D38"/>
    <w:rsid w:val="008A54FD"/>
    <w:rsid w:val="008A61A2"/>
    <w:rsid w:val="008B5C3A"/>
    <w:rsid w:val="008B6066"/>
    <w:rsid w:val="008B7726"/>
    <w:rsid w:val="008C2B18"/>
    <w:rsid w:val="008C4A8D"/>
    <w:rsid w:val="008C67D5"/>
    <w:rsid w:val="008D6110"/>
    <w:rsid w:val="008D6C70"/>
    <w:rsid w:val="008D6E66"/>
    <w:rsid w:val="008E5255"/>
    <w:rsid w:val="008E6943"/>
    <w:rsid w:val="008F490B"/>
    <w:rsid w:val="008F7712"/>
    <w:rsid w:val="009003DE"/>
    <w:rsid w:val="00900869"/>
    <w:rsid w:val="0090379B"/>
    <w:rsid w:val="00903FE2"/>
    <w:rsid w:val="009061AA"/>
    <w:rsid w:val="009064CA"/>
    <w:rsid w:val="00917533"/>
    <w:rsid w:val="00920630"/>
    <w:rsid w:val="00927488"/>
    <w:rsid w:val="009316D9"/>
    <w:rsid w:val="0094237A"/>
    <w:rsid w:val="0094313F"/>
    <w:rsid w:val="009436E6"/>
    <w:rsid w:val="0094462C"/>
    <w:rsid w:val="00946110"/>
    <w:rsid w:val="00952245"/>
    <w:rsid w:val="00954E75"/>
    <w:rsid w:val="00956875"/>
    <w:rsid w:val="00957028"/>
    <w:rsid w:val="00957828"/>
    <w:rsid w:val="00957BDB"/>
    <w:rsid w:val="00963DE1"/>
    <w:rsid w:val="00967868"/>
    <w:rsid w:val="009761E2"/>
    <w:rsid w:val="009767B8"/>
    <w:rsid w:val="009771A2"/>
    <w:rsid w:val="00977BE7"/>
    <w:rsid w:val="0098256B"/>
    <w:rsid w:val="009827BC"/>
    <w:rsid w:val="00983D24"/>
    <w:rsid w:val="00985AB6"/>
    <w:rsid w:val="0099051F"/>
    <w:rsid w:val="00993B5A"/>
    <w:rsid w:val="009959E6"/>
    <w:rsid w:val="009A418D"/>
    <w:rsid w:val="009A6877"/>
    <w:rsid w:val="009A7253"/>
    <w:rsid w:val="009A7E92"/>
    <w:rsid w:val="009B4C9D"/>
    <w:rsid w:val="009B74DF"/>
    <w:rsid w:val="009B7C4E"/>
    <w:rsid w:val="009C573F"/>
    <w:rsid w:val="009C7C0B"/>
    <w:rsid w:val="009D01CA"/>
    <w:rsid w:val="009D0D6E"/>
    <w:rsid w:val="009D49C8"/>
    <w:rsid w:val="009D73E8"/>
    <w:rsid w:val="009E11E1"/>
    <w:rsid w:val="009E15B4"/>
    <w:rsid w:val="009E2859"/>
    <w:rsid w:val="009E3D6A"/>
    <w:rsid w:val="009E75E8"/>
    <w:rsid w:val="009F01DF"/>
    <w:rsid w:val="009F091D"/>
    <w:rsid w:val="009F0C65"/>
    <w:rsid w:val="009F4B67"/>
    <w:rsid w:val="009F502F"/>
    <w:rsid w:val="00A0278A"/>
    <w:rsid w:val="00A02D30"/>
    <w:rsid w:val="00A10080"/>
    <w:rsid w:val="00A1369E"/>
    <w:rsid w:val="00A172CF"/>
    <w:rsid w:val="00A20104"/>
    <w:rsid w:val="00A2284F"/>
    <w:rsid w:val="00A23CA4"/>
    <w:rsid w:val="00A2415D"/>
    <w:rsid w:val="00A256DC"/>
    <w:rsid w:val="00A25C39"/>
    <w:rsid w:val="00A40EDF"/>
    <w:rsid w:val="00A40FC8"/>
    <w:rsid w:val="00A413B5"/>
    <w:rsid w:val="00A46051"/>
    <w:rsid w:val="00A466A0"/>
    <w:rsid w:val="00A477C3"/>
    <w:rsid w:val="00A515F4"/>
    <w:rsid w:val="00A51AA7"/>
    <w:rsid w:val="00A52B5F"/>
    <w:rsid w:val="00A55D86"/>
    <w:rsid w:val="00A55FCC"/>
    <w:rsid w:val="00A56423"/>
    <w:rsid w:val="00A57D84"/>
    <w:rsid w:val="00A62855"/>
    <w:rsid w:val="00A6316B"/>
    <w:rsid w:val="00A63274"/>
    <w:rsid w:val="00A64CDF"/>
    <w:rsid w:val="00A67F80"/>
    <w:rsid w:val="00A72630"/>
    <w:rsid w:val="00A73643"/>
    <w:rsid w:val="00A73804"/>
    <w:rsid w:val="00A7451D"/>
    <w:rsid w:val="00A80452"/>
    <w:rsid w:val="00A83FD7"/>
    <w:rsid w:val="00A843DD"/>
    <w:rsid w:val="00A9412F"/>
    <w:rsid w:val="00AA0544"/>
    <w:rsid w:val="00AA48EC"/>
    <w:rsid w:val="00AA726A"/>
    <w:rsid w:val="00AB130F"/>
    <w:rsid w:val="00AB56A3"/>
    <w:rsid w:val="00AC12A1"/>
    <w:rsid w:val="00AC3760"/>
    <w:rsid w:val="00AD1517"/>
    <w:rsid w:val="00AD18AE"/>
    <w:rsid w:val="00AD1934"/>
    <w:rsid w:val="00AD228A"/>
    <w:rsid w:val="00AD37DC"/>
    <w:rsid w:val="00AD3FD4"/>
    <w:rsid w:val="00AE188A"/>
    <w:rsid w:val="00AE21C4"/>
    <w:rsid w:val="00AE432F"/>
    <w:rsid w:val="00AE5D1B"/>
    <w:rsid w:val="00AE66B3"/>
    <w:rsid w:val="00AF0147"/>
    <w:rsid w:val="00AF5571"/>
    <w:rsid w:val="00AF6C16"/>
    <w:rsid w:val="00AF75A2"/>
    <w:rsid w:val="00B04DB9"/>
    <w:rsid w:val="00B04F9B"/>
    <w:rsid w:val="00B05341"/>
    <w:rsid w:val="00B07342"/>
    <w:rsid w:val="00B1311C"/>
    <w:rsid w:val="00B13A81"/>
    <w:rsid w:val="00B27F60"/>
    <w:rsid w:val="00B3032F"/>
    <w:rsid w:val="00B310A6"/>
    <w:rsid w:val="00B324FC"/>
    <w:rsid w:val="00B33824"/>
    <w:rsid w:val="00B34C7A"/>
    <w:rsid w:val="00B354BE"/>
    <w:rsid w:val="00B36912"/>
    <w:rsid w:val="00B37AF9"/>
    <w:rsid w:val="00B41635"/>
    <w:rsid w:val="00B532A7"/>
    <w:rsid w:val="00B56FF2"/>
    <w:rsid w:val="00B57828"/>
    <w:rsid w:val="00B57C58"/>
    <w:rsid w:val="00B616AD"/>
    <w:rsid w:val="00B6453D"/>
    <w:rsid w:val="00B6799F"/>
    <w:rsid w:val="00B706B2"/>
    <w:rsid w:val="00B72208"/>
    <w:rsid w:val="00B72DCF"/>
    <w:rsid w:val="00B72E28"/>
    <w:rsid w:val="00B748D2"/>
    <w:rsid w:val="00B770A2"/>
    <w:rsid w:val="00B8111F"/>
    <w:rsid w:val="00B82B17"/>
    <w:rsid w:val="00B85F1C"/>
    <w:rsid w:val="00B867A6"/>
    <w:rsid w:val="00B87B0F"/>
    <w:rsid w:val="00BA2559"/>
    <w:rsid w:val="00BA2633"/>
    <w:rsid w:val="00BB34D8"/>
    <w:rsid w:val="00BB550E"/>
    <w:rsid w:val="00BB7860"/>
    <w:rsid w:val="00BC067A"/>
    <w:rsid w:val="00BC0E14"/>
    <w:rsid w:val="00BC1D94"/>
    <w:rsid w:val="00BC2D57"/>
    <w:rsid w:val="00BC595E"/>
    <w:rsid w:val="00BC74B0"/>
    <w:rsid w:val="00BD0C1B"/>
    <w:rsid w:val="00BD4317"/>
    <w:rsid w:val="00BD64E6"/>
    <w:rsid w:val="00BD6897"/>
    <w:rsid w:val="00BE0371"/>
    <w:rsid w:val="00BE315B"/>
    <w:rsid w:val="00BE35F4"/>
    <w:rsid w:val="00BE3911"/>
    <w:rsid w:val="00BE7AE1"/>
    <w:rsid w:val="00BE7F8B"/>
    <w:rsid w:val="00BF204F"/>
    <w:rsid w:val="00BF218B"/>
    <w:rsid w:val="00BF4E53"/>
    <w:rsid w:val="00BF6296"/>
    <w:rsid w:val="00C02E80"/>
    <w:rsid w:val="00C04365"/>
    <w:rsid w:val="00C06A97"/>
    <w:rsid w:val="00C06EBF"/>
    <w:rsid w:val="00C10040"/>
    <w:rsid w:val="00C12577"/>
    <w:rsid w:val="00C1508A"/>
    <w:rsid w:val="00C212C4"/>
    <w:rsid w:val="00C26AFB"/>
    <w:rsid w:val="00C32B91"/>
    <w:rsid w:val="00C34F13"/>
    <w:rsid w:val="00C3759C"/>
    <w:rsid w:val="00C40405"/>
    <w:rsid w:val="00C42C86"/>
    <w:rsid w:val="00C4371B"/>
    <w:rsid w:val="00C46B62"/>
    <w:rsid w:val="00C46E94"/>
    <w:rsid w:val="00C54E04"/>
    <w:rsid w:val="00C55D76"/>
    <w:rsid w:val="00C57DB5"/>
    <w:rsid w:val="00C610F7"/>
    <w:rsid w:val="00C6437A"/>
    <w:rsid w:val="00C70DEC"/>
    <w:rsid w:val="00C715AC"/>
    <w:rsid w:val="00C747EB"/>
    <w:rsid w:val="00C74BDB"/>
    <w:rsid w:val="00C74E26"/>
    <w:rsid w:val="00C75D79"/>
    <w:rsid w:val="00C75D96"/>
    <w:rsid w:val="00C75FFE"/>
    <w:rsid w:val="00C80993"/>
    <w:rsid w:val="00C82D13"/>
    <w:rsid w:val="00C84255"/>
    <w:rsid w:val="00C84BF2"/>
    <w:rsid w:val="00C85603"/>
    <w:rsid w:val="00C8562C"/>
    <w:rsid w:val="00C9124D"/>
    <w:rsid w:val="00C92AE8"/>
    <w:rsid w:val="00C95558"/>
    <w:rsid w:val="00C96661"/>
    <w:rsid w:val="00CA0107"/>
    <w:rsid w:val="00CA703F"/>
    <w:rsid w:val="00CA7DF4"/>
    <w:rsid w:val="00CB3F7E"/>
    <w:rsid w:val="00CB42CC"/>
    <w:rsid w:val="00CB6D00"/>
    <w:rsid w:val="00CB7393"/>
    <w:rsid w:val="00CC06B4"/>
    <w:rsid w:val="00CC2A67"/>
    <w:rsid w:val="00CC6C12"/>
    <w:rsid w:val="00CD61BF"/>
    <w:rsid w:val="00CD6600"/>
    <w:rsid w:val="00CD6951"/>
    <w:rsid w:val="00CE2C84"/>
    <w:rsid w:val="00CE455C"/>
    <w:rsid w:val="00CF0608"/>
    <w:rsid w:val="00CF1387"/>
    <w:rsid w:val="00CF5ADC"/>
    <w:rsid w:val="00CF6C18"/>
    <w:rsid w:val="00CF6F70"/>
    <w:rsid w:val="00D01DA5"/>
    <w:rsid w:val="00D03738"/>
    <w:rsid w:val="00D07EEC"/>
    <w:rsid w:val="00D126AB"/>
    <w:rsid w:val="00D13AFF"/>
    <w:rsid w:val="00D14172"/>
    <w:rsid w:val="00D14A25"/>
    <w:rsid w:val="00D1567A"/>
    <w:rsid w:val="00D201BB"/>
    <w:rsid w:val="00D204EA"/>
    <w:rsid w:val="00D20D84"/>
    <w:rsid w:val="00D21F25"/>
    <w:rsid w:val="00D22542"/>
    <w:rsid w:val="00D23CA5"/>
    <w:rsid w:val="00D2620E"/>
    <w:rsid w:val="00D268D2"/>
    <w:rsid w:val="00D26DC7"/>
    <w:rsid w:val="00D31D50"/>
    <w:rsid w:val="00D329C8"/>
    <w:rsid w:val="00D347EB"/>
    <w:rsid w:val="00D41A42"/>
    <w:rsid w:val="00D5075A"/>
    <w:rsid w:val="00D51712"/>
    <w:rsid w:val="00D51E81"/>
    <w:rsid w:val="00D52283"/>
    <w:rsid w:val="00D53EEF"/>
    <w:rsid w:val="00D5485B"/>
    <w:rsid w:val="00D57797"/>
    <w:rsid w:val="00D57C38"/>
    <w:rsid w:val="00D62D49"/>
    <w:rsid w:val="00D66BB4"/>
    <w:rsid w:val="00D70D03"/>
    <w:rsid w:val="00D8232E"/>
    <w:rsid w:val="00D8264F"/>
    <w:rsid w:val="00D827C0"/>
    <w:rsid w:val="00D82A78"/>
    <w:rsid w:val="00D8413D"/>
    <w:rsid w:val="00D91B21"/>
    <w:rsid w:val="00D93DE0"/>
    <w:rsid w:val="00DA18A0"/>
    <w:rsid w:val="00DA3AFF"/>
    <w:rsid w:val="00DB3F3C"/>
    <w:rsid w:val="00DC3789"/>
    <w:rsid w:val="00DC3D68"/>
    <w:rsid w:val="00DC4D5C"/>
    <w:rsid w:val="00DD109F"/>
    <w:rsid w:val="00DD184B"/>
    <w:rsid w:val="00DD4869"/>
    <w:rsid w:val="00DD5C57"/>
    <w:rsid w:val="00DD73E8"/>
    <w:rsid w:val="00DD7D86"/>
    <w:rsid w:val="00DE0F6F"/>
    <w:rsid w:val="00DE1938"/>
    <w:rsid w:val="00DF4245"/>
    <w:rsid w:val="00DF5A58"/>
    <w:rsid w:val="00DF667F"/>
    <w:rsid w:val="00E01147"/>
    <w:rsid w:val="00E04D80"/>
    <w:rsid w:val="00E10D06"/>
    <w:rsid w:val="00E11AEE"/>
    <w:rsid w:val="00E169E1"/>
    <w:rsid w:val="00E16C5A"/>
    <w:rsid w:val="00E16CAD"/>
    <w:rsid w:val="00E22C68"/>
    <w:rsid w:val="00E23741"/>
    <w:rsid w:val="00E26A95"/>
    <w:rsid w:val="00E313A0"/>
    <w:rsid w:val="00E33A20"/>
    <w:rsid w:val="00E370AC"/>
    <w:rsid w:val="00E40616"/>
    <w:rsid w:val="00E41EB4"/>
    <w:rsid w:val="00E4283F"/>
    <w:rsid w:val="00E44174"/>
    <w:rsid w:val="00E5423B"/>
    <w:rsid w:val="00E60B34"/>
    <w:rsid w:val="00E617AC"/>
    <w:rsid w:val="00E62958"/>
    <w:rsid w:val="00E64785"/>
    <w:rsid w:val="00E6480D"/>
    <w:rsid w:val="00E64823"/>
    <w:rsid w:val="00E70310"/>
    <w:rsid w:val="00E722F2"/>
    <w:rsid w:val="00E73B8D"/>
    <w:rsid w:val="00E74D92"/>
    <w:rsid w:val="00E7616E"/>
    <w:rsid w:val="00E76EFB"/>
    <w:rsid w:val="00E805C6"/>
    <w:rsid w:val="00E80AA0"/>
    <w:rsid w:val="00E8338D"/>
    <w:rsid w:val="00E8571F"/>
    <w:rsid w:val="00E87E4A"/>
    <w:rsid w:val="00E90320"/>
    <w:rsid w:val="00E91355"/>
    <w:rsid w:val="00E9167B"/>
    <w:rsid w:val="00E95750"/>
    <w:rsid w:val="00E9789F"/>
    <w:rsid w:val="00EA004D"/>
    <w:rsid w:val="00EA0750"/>
    <w:rsid w:val="00EB17DD"/>
    <w:rsid w:val="00EB7940"/>
    <w:rsid w:val="00EB7978"/>
    <w:rsid w:val="00EC13DF"/>
    <w:rsid w:val="00EC27EB"/>
    <w:rsid w:val="00EC3BD9"/>
    <w:rsid w:val="00EC4BD4"/>
    <w:rsid w:val="00EC53E8"/>
    <w:rsid w:val="00EC58F9"/>
    <w:rsid w:val="00EC6EF0"/>
    <w:rsid w:val="00ED1707"/>
    <w:rsid w:val="00ED269D"/>
    <w:rsid w:val="00ED2CFC"/>
    <w:rsid w:val="00ED4A45"/>
    <w:rsid w:val="00ED5F71"/>
    <w:rsid w:val="00ED66C3"/>
    <w:rsid w:val="00ED6A3C"/>
    <w:rsid w:val="00EE017D"/>
    <w:rsid w:val="00EE1B67"/>
    <w:rsid w:val="00EE2C4A"/>
    <w:rsid w:val="00EE75D1"/>
    <w:rsid w:val="00EF0032"/>
    <w:rsid w:val="00EF10F1"/>
    <w:rsid w:val="00EF1192"/>
    <w:rsid w:val="00EF3B93"/>
    <w:rsid w:val="00EF46FB"/>
    <w:rsid w:val="00EF61BF"/>
    <w:rsid w:val="00EF6980"/>
    <w:rsid w:val="00EF6CBD"/>
    <w:rsid w:val="00EF705A"/>
    <w:rsid w:val="00F014A8"/>
    <w:rsid w:val="00F03C93"/>
    <w:rsid w:val="00F052BD"/>
    <w:rsid w:val="00F153E7"/>
    <w:rsid w:val="00F1664A"/>
    <w:rsid w:val="00F20E3F"/>
    <w:rsid w:val="00F22E38"/>
    <w:rsid w:val="00F25190"/>
    <w:rsid w:val="00F30863"/>
    <w:rsid w:val="00F31C83"/>
    <w:rsid w:val="00F31DF0"/>
    <w:rsid w:val="00F32987"/>
    <w:rsid w:val="00F32EA3"/>
    <w:rsid w:val="00F414D3"/>
    <w:rsid w:val="00F53F24"/>
    <w:rsid w:val="00F53F6B"/>
    <w:rsid w:val="00F545A2"/>
    <w:rsid w:val="00F56478"/>
    <w:rsid w:val="00F56E0E"/>
    <w:rsid w:val="00F57492"/>
    <w:rsid w:val="00F66474"/>
    <w:rsid w:val="00F74941"/>
    <w:rsid w:val="00F75488"/>
    <w:rsid w:val="00F801FF"/>
    <w:rsid w:val="00F83730"/>
    <w:rsid w:val="00F9371E"/>
    <w:rsid w:val="00F952B0"/>
    <w:rsid w:val="00FA0066"/>
    <w:rsid w:val="00FA224F"/>
    <w:rsid w:val="00FA2521"/>
    <w:rsid w:val="00FA2623"/>
    <w:rsid w:val="00FA4C59"/>
    <w:rsid w:val="00FA5C7C"/>
    <w:rsid w:val="00FB0D81"/>
    <w:rsid w:val="00FB37C0"/>
    <w:rsid w:val="00FB3827"/>
    <w:rsid w:val="00FB63DD"/>
    <w:rsid w:val="00FB701E"/>
    <w:rsid w:val="00FB70FE"/>
    <w:rsid w:val="00FB7E68"/>
    <w:rsid w:val="00FC03DB"/>
    <w:rsid w:val="00FC09D8"/>
    <w:rsid w:val="00FC2619"/>
    <w:rsid w:val="00FE5D4B"/>
    <w:rsid w:val="00FF1B89"/>
    <w:rsid w:val="00FF5ACC"/>
    <w:rsid w:val="00FF6811"/>
    <w:rsid w:val="01F511C1"/>
    <w:rsid w:val="022363F7"/>
    <w:rsid w:val="022E6A52"/>
    <w:rsid w:val="028A0E23"/>
    <w:rsid w:val="02947AC9"/>
    <w:rsid w:val="0301012C"/>
    <w:rsid w:val="03AA6820"/>
    <w:rsid w:val="049978FE"/>
    <w:rsid w:val="04CF739E"/>
    <w:rsid w:val="054E01DC"/>
    <w:rsid w:val="05B82FCB"/>
    <w:rsid w:val="060F2685"/>
    <w:rsid w:val="06E1733A"/>
    <w:rsid w:val="0A74602A"/>
    <w:rsid w:val="0B252467"/>
    <w:rsid w:val="0B846918"/>
    <w:rsid w:val="0BDC6E08"/>
    <w:rsid w:val="0C12551A"/>
    <w:rsid w:val="0D2D69B8"/>
    <w:rsid w:val="0DA90138"/>
    <w:rsid w:val="0E49372D"/>
    <w:rsid w:val="0E837EA7"/>
    <w:rsid w:val="0E950708"/>
    <w:rsid w:val="0F631348"/>
    <w:rsid w:val="0FAE5E80"/>
    <w:rsid w:val="0FE46397"/>
    <w:rsid w:val="0FED39C8"/>
    <w:rsid w:val="10E97B10"/>
    <w:rsid w:val="112B00D2"/>
    <w:rsid w:val="116C2760"/>
    <w:rsid w:val="12144A9F"/>
    <w:rsid w:val="125E1BB7"/>
    <w:rsid w:val="12690DA6"/>
    <w:rsid w:val="12FC60A1"/>
    <w:rsid w:val="13795C08"/>
    <w:rsid w:val="14243760"/>
    <w:rsid w:val="144A4A99"/>
    <w:rsid w:val="1480680A"/>
    <w:rsid w:val="14E536F4"/>
    <w:rsid w:val="157B6422"/>
    <w:rsid w:val="158D29C8"/>
    <w:rsid w:val="15AE6AFD"/>
    <w:rsid w:val="15B06AAE"/>
    <w:rsid w:val="15EA64D3"/>
    <w:rsid w:val="160E3370"/>
    <w:rsid w:val="160F1A50"/>
    <w:rsid w:val="16441B17"/>
    <w:rsid w:val="169C4F4D"/>
    <w:rsid w:val="17CB0D70"/>
    <w:rsid w:val="17EB4C10"/>
    <w:rsid w:val="18E70DFE"/>
    <w:rsid w:val="192A062F"/>
    <w:rsid w:val="19EE1FBB"/>
    <w:rsid w:val="19F12A98"/>
    <w:rsid w:val="1A756883"/>
    <w:rsid w:val="1ADC6626"/>
    <w:rsid w:val="1AE80DD2"/>
    <w:rsid w:val="1B1C451B"/>
    <w:rsid w:val="1B2852F8"/>
    <w:rsid w:val="1B9A693E"/>
    <w:rsid w:val="1C471977"/>
    <w:rsid w:val="1C7204E1"/>
    <w:rsid w:val="1C746E0F"/>
    <w:rsid w:val="1CED6E05"/>
    <w:rsid w:val="1D7B73C5"/>
    <w:rsid w:val="1D8B753E"/>
    <w:rsid w:val="1DC858CA"/>
    <w:rsid w:val="20251D8E"/>
    <w:rsid w:val="20D81C1A"/>
    <w:rsid w:val="20FA2B58"/>
    <w:rsid w:val="214A5C77"/>
    <w:rsid w:val="216A3A27"/>
    <w:rsid w:val="21A62F12"/>
    <w:rsid w:val="21D12A33"/>
    <w:rsid w:val="21FA02D8"/>
    <w:rsid w:val="228228F6"/>
    <w:rsid w:val="235A5C34"/>
    <w:rsid w:val="235E4EB8"/>
    <w:rsid w:val="23625501"/>
    <w:rsid w:val="24CB5D8D"/>
    <w:rsid w:val="24F567E8"/>
    <w:rsid w:val="24FF030B"/>
    <w:rsid w:val="2526789E"/>
    <w:rsid w:val="26066653"/>
    <w:rsid w:val="262D38B6"/>
    <w:rsid w:val="2652202F"/>
    <w:rsid w:val="2687442F"/>
    <w:rsid w:val="26C96488"/>
    <w:rsid w:val="26DE27AA"/>
    <w:rsid w:val="271B60DF"/>
    <w:rsid w:val="272F39AF"/>
    <w:rsid w:val="278A4A6C"/>
    <w:rsid w:val="28E1321B"/>
    <w:rsid w:val="28F04F45"/>
    <w:rsid w:val="296E0499"/>
    <w:rsid w:val="2A741D15"/>
    <w:rsid w:val="2A9147A2"/>
    <w:rsid w:val="2AA1308E"/>
    <w:rsid w:val="2AAC0EC5"/>
    <w:rsid w:val="2ADA2B05"/>
    <w:rsid w:val="2CA06A01"/>
    <w:rsid w:val="2D720248"/>
    <w:rsid w:val="2E27179F"/>
    <w:rsid w:val="2EC804F9"/>
    <w:rsid w:val="2EF62B7F"/>
    <w:rsid w:val="2F197714"/>
    <w:rsid w:val="2FB36AFD"/>
    <w:rsid w:val="30A270D0"/>
    <w:rsid w:val="30BD6D40"/>
    <w:rsid w:val="30E820A2"/>
    <w:rsid w:val="30F90431"/>
    <w:rsid w:val="31595293"/>
    <w:rsid w:val="319369FA"/>
    <w:rsid w:val="323F322E"/>
    <w:rsid w:val="333950ED"/>
    <w:rsid w:val="338012A4"/>
    <w:rsid w:val="33827F4D"/>
    <w:rsid w:val="33CE733D"/>
    <w:rsid w:val="33EC37BE"/>
    <w:rsid w:val="349879D0"/>
    <w:rsid w:val="34B51B70"/>
    <w:rsid w:val="352A4CE9"/>
    <w:rsid w:val="355A200B"/>
    <w:rsid w:val="359800CD"/>
    <w:rsid w:val="364B54FC"/>
    <w:rsid w:val="368012FB"/>
    <w:rsid w:val="36844279"/>
    <w:rsid w:val="36BC4930"/>
    <w:rsid w:val="37B7394C"/>
    <w:rsid w:val="37D11D26"/>
    <w:rsid w:val="37F10F9C"/>
    <w:rsid w:val="3889754D"/>
    <w:rsid w:val="38D34321"/>
    <w:rsid w:val="391527FC"/>
    <w:rsid w:val="39B35B0C"/>
    <w:rsid w:val="3A440D5F"/>
    <w:rsid w:val="3AFF6ED4"/>
    <w:rsid w:val="3B5F6C98"/>
    <w:rsid w:val="3C0B0163"/>
    <w:rsid w:val="3C252C83"/>
    <w:rsid w:val="3C901F01"/>
    <w:rsid w:val="3CC028E1"/>
    <w:rsid w:val="3CE35697"/>
    <w:rsid w:val="3D1D11EC"/>
    <w:rsid w:val="3D92645B"/>
    <w:rsid w:val="3F877560"/>
    <w:rsid w:val="40171669"/>
    <w:rsid w:val="42236E53"/>
    <w:rsid w:val="424C39D3"/>
    <w:rsid w:val="428274BE"/>
    <w:rsid w:val="42CF7580"/>
    <w:rsid w:val="43556ED6"/>
    <w:rsid w:val="43FD168C"/>
    <w:rsid w:val="43FD7804"/>
    <w:rsid w:val="444D4811"/>
    <w:rsid w:val="44500338"/>
    <w:rsid w:val="44AE5BE8"/>
    <w:rsid w:val="452D5D59"/>
    <w:rsid w:val="4537313F"/>
    <w:rsid w:val="45694074"/>
    <w:rsid w:val="462F6081"/>
    <w:rsid w:val="46AC675F"/>
    <w:rsid w:val="47250A05"/>
    <w:rsid w:val="481E10DE"/>
    <w:rsid w:val="493871AA"/>
    <w:rsid w:val="49CE2F7B"/>
    <w:rsid w:val="4A3D38BC"/>
    <w:rsid w:val="4AAC2948"/>
    <w:rsid w:val="4ABE58EB"/>
    <w:rsid w:val="4BC86B33"/>
    <w:rsid w:val="4C581B6E"/>
    <w:rsid w:val="4C6A3CEB"/>
    <w:rsid w:val="4CA77AD0"/>
    <w:rsid w:val="4CBE3D03"/>
    <w:rsid w:val="4D2762E2"/>
    <w:rsid w:val="4D2D4F39"/>
    <w:rsid w:val="4D4A616B"/>
    <w:rsid w:val="4D8D609C"/>
    <w:rsid w:val="4D9F0869"/>
    <w:rsid w:val="4DD34311"/>
    <w:rsid w:val="4DF64C0B"/>
    <w:rsid w:val="4E03120E"/>
    <w:rsid w:val="4E09385C"/>
    <w:rsid w:val="4E1E75F1"/>
    <w:rsid w:val="4EBE61C2"/>
    <w:rsid w:val="4F330BC9"/>
    <w:rsid w:val="4F734B61"/>
    <w:rsid w:val="4F7C17BD"/>
    <w:rsid w:val="51782E52"/>
    <w:rsid w:val="5256682A"/>
    <w:rsid w:val="52F128F1"/>
    <w:rsid w:val="53561C0C"/>
    <w:rsid w:val="540F3658"/>
    <w:rsid w:val="545C1EDE"/>
    <w:rsid w:val="54866D0B"/>
    <w:rsid w:val="54E919F4"/>
    <w:rsid w:val="55396B0F"/>
    <w:rsid w:val="554907A3"/>
    <w:rsid w:val="555E479D"/>
    <w:rsid w:val="55A934DA"/>
    <w:rsid w:val="55AB4E86"/>
    <w:rsid w:val="55F705EB"/>
    <w:rsid w:val="5705646A"/>
    <w:rsid w:val="577C5EC6"/>
    <w:rsid w:val="57A82338"/>
    <w:rsid w:val="585309BA"/>
    <w:rsid w:val="598B7212"/>
    <w:rsid w:val="59A616C9"/>
    <w:rsid w:val="5A2C45A7"/>
    <w:rsid w:val="5AB63B9F"/>
    <w:rsid w:val="5B160B48"/>
    <w:rsid w:val="5B527506"/>
    <w:rsid w:val="5B571756"/>
    <w:rsid w:val="5B7C39DE"/>
    <w:rsid w:val="5C2F5AA9"/>
    <w:rsid w:val="5D433ACC"/>
    <w:rsid w:val="5DB71F8E"/>
    <w:rsid w:val="5E2E7D5F"/>
    <w:rsid w:val="5E5B3E79"/>
    <w:rsid w:val="5E860EA4"/>
    <w:rsid w:val="5F140410"/>
    <w:rsid w:val="5F5A154E"/>
    <w:rsid w:val="5FE642E3"/>
    <w:rsid w:val="60555E53"/>
    <w:rsid w:val="60B14920"/>
    <w:rsid w:val="60BB16FF"/>
    <w:rsid w:val="610D3CB3"/>
    <w:rsid w:val="610F21B3"/>
    <w:rsid w:val="61AD45FB"/>
    <w:rsid w:val="630626A4"/>
    <w:rsid w:val="63D76166"/>
    <w:rsid w:val="64306C46"/>
    <w:rsid w:val="650E272D"/>
    <w:rsid w:val="661B62EC"/>
    <w:rsid w:val="663F0AD0"/>
    <w:rsid w:val="666B0C49"/>
    <w:rsid w:val="666C73DB"/>
    <w:rsid w:val="666D036B"/>
    <w:rsid w:val="672E281B"/>
    <w:rsid w:val="67753AAA"/>
    <w:rsid w:val="678971B1"/>
    <w:rsid w:val="68B84763"/>
    <w:rsid w:val="68CE6147"/>
    <w:rsid w:val="68EC39D1"/>
    <w:rsid w:val="690601EE"/>
    <w:rsid w:val="696E155E"/>
    <w:rsid w:val="697A6842"/>
    <w:rsid w:val="6AEC6FD9"/>
    <w:rsid w:val="6AF4013B"/>
    <w:rsid w:val="6AFE70EE"/>
    <w:rsid w:val="6B053D3F"/>
    <w:rsid w:val="6BA1605B"/>
    <w:rsid w:val="6BC41D16"/>
    <w:rsid w:val="6C077309"/>
    <w:rsid w:val="6C835F4E"/>
    <w:rsid w:val="6CC46B9B"/>
    <w:rsid w:val="6CD61685"/>
    <w:rsid w:val="6CD93F59"/>
    <w:rsid w:val="6D1A1E0B"/>
    <w:rsid w:val="6D89353F"/>
    <w:rsid w:val="6DD564D3"/>
    <w:rsid w:val="6DFC526C"/>
    <w:rsid w:val="6E6329A3"/>
    <w:rsid w:val="6E7B52B8"/>
    <w:rsid w:val="6EBC7482"/>
    <w:rsid w:val="6ED728CC"/>
    <w:rsid w:val="6F0022EE"/>
    <w:rsid w:val="6F0A6799"/>
    <w:rsid w:val="6F8B24B6"/>
    <w:rsid w:val="713F7420"/>
    <w:rsid w:val="71D13AC3"/>
    <w:rsid w:val="72B94C7B"/>
    <w:rsid w:val="73017028"/>
    <w:rsid w:val="73BB721B"/>
    <w:rsid w:val="7436428C"/>
    <w:rsid w:val="74880F28"/>
    <w:rsid w:val="749A75DF"/>
    <w:rsid w:val="74BD5B20"/>
    <w:rsid w:val="753D6062"/>
    <w:rsid w:val="755C2F77"/>
    <w:rsid w:val="75796E37"/>
    <w:rsid w:val="75F72359"/>
    <w:rsid w:val="76010B9E"/>
    <w:rsid w:val="77D104F0"/>
    <w:rsid w:val="794A1750"/>
    <w:rsid w:val="795177CD"/>
    <w:rsid w:val="796D0FBA"/>
    <w:rsid w:val="799D4EB6"/>
    <w:rsid w:val="79D56E73"/>
    <w:rsid w:val="7A175525"/>
    <w:rsid w:val="7A360A42"/>
    <w:rsid w:val="7B01674D"/>
    <w:rsid w:val="7B143A6F"/>
    <w:rsid w:val="7B1E2407"/>
    <w:rsid w:val="7BA35F5E"/>
    <w:rsid w:val="7BF62A6D"/>
    <w:rsid w:val="7C7152AA"/>
    <w:rsid w:val="7CAD0017"/>
    <w:rsid w:val="7CDA2B8E"/>
    <w:rsid w:val="7D742D6D"/>
    <w:rsid w:val="7DC94A4D"/>
    <w:rsid w:val="7E010F4A"/>
    <w:rsid w:val="7E295049"/>
    <w:rsid w:val="7EDE4278"/>
    <w:rsid w:val="7F4A65E6"/>
    <w:rsid w:val="7F624C64"/>
    <w:rsid w:val="7F7676AB"/>
    <w:rsid w:val="7F820388"/>
    <w:rsid w:val="7FBA7263"/>
    <w:rsid w:val="7FBA7800"/>
    <w:rsid w:val="7FF86F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nhideWhenUsed="0" w:uiPriority="39" w:semiHidden="0" w:name="toc 8"/>
    <w:lsdException w:qFormat="1" w:uiPriority="39" w:semiHidden="0" w:name="toc 9"/>
    <w:lsdException w:qFormat="1" w:uiPriority="99"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beforeLines="50" w:line="360" w:lineRule="auto"/>
      <w:ind w:firstLine="200" w:firstLineChars="200"/>
      <w:jc w:val="both"/>
    </w:pPr>
    <w:rPr>
      <w:rFonts w:ascii="Times New Roman" w:hAnsi="Times New Roman" w:eastAsia="仿宋_GB2312" w:cs="Times New Roman"/>
      <w:kern w:val="2"/>
      <w:sz w:val="24"/>
      <w:szCs w:val="24"/>
      <w:lang w:val="en-US" w:eastAsia="zh-CN" w:bidi="ar-SA"/>
    </w:rPr>
  </w:style>
  <w:style w:type="paragraph" w:styleId="3">
    <w:name w:val="heading 1"/>
    <w:next w:val="1"/>
    <w:link w:val="40"/>
    <w:qFormat/>
    <w:uiPriority w:val="0"/>
    <w:pPr>
      <w:keepNext/>
      <w:keepLines/>
      <w:numPr>
        <w:ilvl w:val="0"/>
        <w:numId w:val="1"/>
      </w:numPr>
      <w:spacing w:before="200" w:after="200" w:line="420" w:lineRule="auto"/>
      <w:outlineLvl w:val="0"/>
    </w:pPr>
    <w:rPr>
      <w:rFonts w:ascii="Times New Roman" w:hAnsi="Times New Roman" w:eastAsia="仿宋_GB2312" w:cs="Times New Roman"/>
      <w:b/>
      <w:kern w:val="44"/>
      <w:sz w:val="30"/>
      <w:szCs w:val="30"/>
      <w:lang w:val="en-US" w:eastAsia="zh-CN" w:bidi="ar-SA"/>
    </w:rPr>
  </w:style>
  <w:style w:type="paragraph" w:styleId="2">
    <w:name w:val="heading 2"/>
    <w:basedOn w:val="1"/>
    <w:next w:val="1"/>
    <w:link w:val="41"/>
    <w:qFormat/>
    <w:uiPriority w:val="9"/>
    <w:pPr>
      <w:spacing w:afterLines="50"/>
      <w:outlineLvl w:val="1"/>
    </w:pPr>
    <w:rPr>
      <w:sz w:val="28"/>
      <w:szCs w:val="28"/>
    </w:rPr>
  </w:style>
  <w:style w:type="paragraph" w:styleId="4">
    <w:name w:val="heading 3"/>
    <w:basedOn w:val="1"/>
    <w:next w:val="1"/>
    <w:link w:val="42"/>
    <w:qFormat/>
    <w:uiPriority w:val="9"/>
    <w:pPr>
      <w:keepNext/>
      <w:keepLines/>
      <w:widowControl w:val="0"/>
      <w:numPr>
        <w:ilvl w:val="2"/>
        <w:numId w:val="1"/>
      </w:numPr>
      <w:adjustRightInd/>
      <w:snapToGrid/>
      <w:spacing w:before="50" w:line="420" w:lineRule="auto"/>
      <w:ind w:left="0" w:firstLine="0" w:firstLineChars="0"/>
      <w:jc w:val="left"/>
      <w:outlineLvl w:val="2"/>
    </w:pPr>
  </w:style>
  <w:style w:type="paragraph" w:styleId="5">
    <w:name w:val="heading 4"/>
    <w:basedOn w:val="1"/>
    <w:next w:val="1"/>
    <w:link w:val="43"/>
    <w:qFormat/>
    <w:uiPriority w:val="9"/>
    <w:pPr>
      <w:keepNext/>
      <w:keepLines/>
      <w:widowControl w:val="0"/>
      <w:numPr>
        <w:ilvl w:val="3"/>
        <w:numId w:val="1"/>
      </w:numPr>
      <w:adjustRightInd/>
      <w:snapToGrid/>
      <w:spacing w:before="50" w:line="420" w:lineRule="auto"/>
      <w:ind w:left="0" w:firstLine="0" w:firstLineChars="0"/>
      <w:jc w:val="left"/>
      <w:outlineLvl w:val="3"/>
    </w:pPr>
  </w:style>
  <w:style w:type="paragraph" w:styleId="6">
    <w:name w:val="heading 5"/>
    <w:basedOn w:val="1"/>
    <w:next w:val="1"/>
    <w:link w:val="44"/>
    <w:unhideWhenUsed/>
    <w:qFormat/>
    <w:uiPriority w:val="9"/>
    <w:pPr>
      <w:keepNext/>
      <w:keepLines/>
      <w:widowControl w:val="0"/>
      <w:numPr>
        <w:ilvl w:val="4"/>
        <w:numId w:val="1"/>
      </w:numPr>
      <w:adjustRightInd/>
      <w:snapToGrid/>
      <w:spacing w:before="280" w:after="290" w:line="376" w:lineRule="auto"/>
      <w:ind w:firstLine="0" w:firstLineChars="0"/>
      <w:outlineLvl w:val="4"/>
    </w:pPr>
    <w:rPr>
      <w:b/>
      <w:bCs/>
      <w:szCs w:val="28"/>
    </w:rPr>
  </w:style>
  <w:style w:type="paragraph" w:styleId="7">
    <w:name w:val="heading 6"/>
    <w:basedOn w:val="1"/>
    <w:next w:val="1"/>
    <w:link w:val="45"/>
    <w:unhideWhenUsed/>
    <w:qFormat/>
    <w:uiPriority w:val="9"/>
    <w:pPr>
      <w:keepNext/>
      <w:keepLines/>
      <w:widowControl w:val="0"/>
      <w:numPr>
        <w:ilvl w:val="5"/>
        <w:numId w:val="1"/>
      </w:numPr>
      <w:adjustRightInd/>
      <w:snapToGrid/>
      <w:spacing w:before="240" w:after="64" w:line="320" w:lineRule="auto"/>
      <w:ind w:firstLine="0" w:firstLineChars="0"/>
      <w:outlineLvl w:val="5"/>
    </w:pPr>
    <w:rPr>
      <w:rFonts w:ascii="Cambria" w:hAnsi="Cambria" w:eastAsia="宋体"/>
      <w:b/>
      <w:bCs/>
    </w:rPr>
  </w:style>
  <w:style w:type="paragraph" w:styleId="8">
    <w:name w:val="heading 7"/>
    <w:basedOn w:val="1"/>
    <w:next w:val="1"/>
    <w:link w:val="46"/>
    <w:unhideWhenUsed/>
    <w:qFormat/>
    <w:uiPriority w:val="9"/>
    <w:pPr>
      <w:keepNext/>
      <w:keepLines/>
      <w:widowControl w:val="0"/>
      <w:numPr>
        <w:ilvl w:val="6"/>
        <w:numId w:val="1"/>
      </w:numPr>
      <w:adjustRightInd/>
      <w:snapToGrid/>
      <w:spacing w:before="240" w:after="64" w:line="320" w:lineRule="auto"/>
      <w:ind w:firstLine="0" w:firstLineChars="0"/>
      <w:outlineLvl w:val="6"/>
    </w:pPr>
    <w:rPr>
      <w:b/>
      <w:bCs/>
    </w:rPr>
  </w:style>
  <w:style w:type="paragraph" w:styleId="9">
    <w:name w:val="heading 8"/>
    <w:basedOn w:val="1"/>
    <w:next w:val="1"/>
    <w:link w:val="47"/>
    <w:unhideWhenUsed/>
    <w:qFormat/>
    <w:uiPriority w:val="9"/>
    <w:pPr>
      <w:keepNext/>
      <w:keepLines/>
      <w:widowControl w:val="0"/>
      <w:numPr>
        <w:ilvl w:val="7"/>
        <w:numId w:val="1"/>
      </w:numPr>
      <w:adjustRightInd/>
      <w:snapToGrid/>
      <w:spacing w:before="240" w:after="64" w:line="320" w:lineRule="auto"/>
      <w:ind w:firstLine="0" w:firstLineChars="0"/>
      <w:outlineLvl w:val="7"/>
    </w:pPr>
    <w:rPr>
      <w:rFonts w:ascii="Cambria" w:hAnsi="Cambria" w:eastAsia="宋体"/>
    </w:rPr>
  </w:style>
  <w:style w:type="paragraph" w:styleId="10">
    <w:name w:val="heading 9"/>
    <w:basedOn w:val="1"/>
    <w:next w:val="1"/>
    <w:link w:val="48"/>
    <w:unhideWhenUsed/>
    <w:qFormat/>
    <w:uiPriority w:val="9"/>
    <w:pPr>
      <w:keepNext/>
      <w:keepLines/>
      <w:widowControl w:val="0"/>
      <w:numPr>
        <w:ilvl w:val="8"/>
        <w:numId w:val="1"/>
      </w:numPr>
      <w:adjustRightInd/>
      <w:snapToGrid/>
      <w:spacing w:before="240" w:after="64" w:line="320" w:lineRule="auto"/>
      <w:ind w:firstLine="0" w:firstLineChars="0"/>
      <w:outlineLvl w:val="8"/>
    </w:pPr>
    <w:rPr>
      <w:rFonts w:ascii="Cambria" w:hAnsi="Cambria" w:eastAsia="宋体"/>
      <w:sz w:val="21"/>
      <w:szCs w:val="21"/>
    </w:rPr>
  </w:style>
  <w:style w:type="character" w:default="1" w:styleId="34">
    <w:name w:val="Default Paragraph Font"/>
    <w:unhideWhenUsed/>
    <w:qFormat/>
    <w:uiPriority w:val="1"/>
  </w:style>
  <w:style w:type="table" w:default="1" w:styleId="32">
    <w:name w:val="Normal Table"/>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11">
    <w:name w:val="toc 7"/>
    <w:basedOn w:val="1"/>
    <w:next w:val="1"/>
    <w:unhideWhenUsed/>
    <w:qFormat/>
    <w:uiPriority w:val="39"/>
    <w:pPr>
      <w:widowControl w:val="0"/>
      <w:adjustRightInd/>
      <w:snapToGrid/>
      <w:spacing w:beforeLines="0" w:line="240" w:lineRule="auto"/>
      <w:ind w:left="2520" w:leftChars="1200" w:firstLine="0" w:firstLineChars="0"/>
    </w:pPr>
    <w:rPr>
      <w:rFonts w:asciiTheme="minorHAnsi" w:hAnsiTheme="minorHAnsi" w:eastAsiaTheme="minorEastAsia" w:cstheme="minorBidi"/>
      <w:sz w:val="21"/>
      <w:szCs w:val="22"/>
    </w:rPr>
  </w:style>
  <w:style w:type="paragraph" w:styleId="12">
    <w:name w:val="Normal Indent"/>
    <w:basedOn w:val="1"/>
    <w:unhideWhenUsed/>
    <w:qFormat/>
    <w:uiPriority w:val="99"/>
    <w:pPr>
      <w:adjustRightInd/>
      <w:snapToGrid/>
      <w:spacing w:beforeLines="0" w:line="240" w:lineRule="auto"/>
      <w:ind w:firstLine="420" w:firstLineChars="0"/>
      <w:jc w:val="left"/>
    </w:pPr>
    <w:rPr>
      <w:rFonts w:ascii="金山简魏碑" w:hAnsi="宋体" w:eastAsia="宋体" w:cs="宋体"/>
      <w:kern w:val="0"/>
    </w:rPr>
  </w:style>
  <w:style w:type="paragraph" w:styleId="13">
    <w:name w:val="caption"/>
    <w:basedOn w:val="1"/>
    <w:next w:val="1"/>
    <w:link w:val="60"/>
    <w:unhideWhenUsed/>
    <w:qFormat/>
    <w:uiPriority w:val="0"/>
    <w:pPr>
      <w:widowControl w:val="0"/>
      <w:adjustRightInd/>
      <w:snapToGrid/>
      <w:spacing w:beforeLines="0" w:line="240" w:lineRule="exact"/>
      <w:ind w:firstLine="0" w:firstLineChars="0"/>
      <w:jc w:val="left"/>
    </w:pPr>
    <w:rPr>
      <w:szCs w:val="20"/>
    </w:rPr>
  </w:style>
  <w:style w:type="paragraph" w:styleId="14">
    <w:name w:val="Document Map"/>
    <w:basedOn w:val="1"/>
    <w:link w:val="49"/>
    <w:unhideWhenUsed/>
    <w:qFormat/>
    <w:uiPriority w:val="99"/>
    <w:rPr>
      <w:rFonts w:ascii="宋体" w:eastAsia="宋体"/>
      <w:sz w:val="18"/>
      <w:szCs w:val="18"/>
    </w:rPr>
  </w:style>
  <w:style w:type="paragraph" w:styleId="15">
    <w:name w:val="annotation text"/>
    <w:basedOn w:val="1"/>
    <w:link w:val="76"/>
    <w:unhideWhenUsed/>
    <w:qFormat/>
    <w:uiPriority w:val="99"/>
    <w:pPr>
      <w:jc w:val="left"/>
    </w:pPr>
  </w:style>
  <w:style w:type="paragraph" w:styleId="16">
    <w:name w:val="Body Text Indent"/>
    <w:basedOn w:val="1"/>
    <w:link w:val="56"/>
    <w:qFormat/>
    <w:uiPriority w:val="0"/>
    <w:pPr>
      <w:widowControl w:val="0"/>
      <w:autoSpaceDE w:val="0"/>
      <w:autoSpaceDN w:val="0"/>
      <w:snapToGrid/>
      <w:spacing w:beforeLines="0"/>
      <w:ind w:firstLine="0" w:firstLineChars="0"/>
      <w:jc w:val="center"/>
      <w:textAlignment w:val="baseline"/>
    </w:pPr>
    <w:rPr>
      <w:b/>
      <w:kern w:val="0"/>
      <w:szCs w:val="20"/>
    </w:rPr>
  </w:style>
  <w:style w:type="paragraph" w:styleId="17">
    <w:name w:val="toc 5"/>
    <w:basedOn w:val="1"/>
    <w:next w:val="1"/>
    <w:unhideWhenUsed/>
    <w:qFormat/>
    <w:uiPriority w:val="39"/>
    <w:pPr>
      <w:widowControl w:val="0"/>
      <w:adjustRightInd/>
      <w:snapToGrid/>
      <w:spacing w:beforeLines="0" w:line="240" w:lineRule="auto"/>
      <w:ind w:left="1680" w:leftChars="800" w:firstLine="0" w:firstLineChars="0"/>
    </w:pPr>
    <w:rPr>
      <w:rFonts w:asciiTheme="minorHAnsi" w:hAnsiTheme="minorHAnsi" w:eastAsiaTheme="minorEastAsia" w:cstheme="minorBidi"/>
      <w:sz w:val="21"/>
      <w:szCs w:val="22"/>
    </w:rPr>
  </w:style>
  <w:style w:type="paragraph" w:styleId="18">
    <w:name w:val="toc 3"/>
    <w:basedOn w:val="1"/>
    <w:next w:val="1"/>
    <w:unhideWhenUsed/>
    <w:qFormat/>
    <w:uiPriority w:val="39"/>
    <w:pPr>
      <w:tabs>
        <w:tab w:val="left" w:pos="2520"/>
        <w:tab w:val="right" w:leader="dot" w:pos="8296"/>
      </w:tabs>
      <w:spacing w:before="120"/>
      <w:ind w:left="1120" w:leftChars="400" w:firstLine="560"/>
    </w:pPr>
  </w:style>
  <w:style w:type="paragraph" w:styleId="19">
    <w:name w:val="Plain Text"/>
    <w:basedOn w:val="1"/>
    <w:link w:val="51"/>
    <w:qFormat/>
    <w:uiPriority w:val="0"/>
    <w:pPr>
      <w:widowControl w:val="0"/>
      <w:adjustRightInd/>
      <w:snapToGrid/>
      <w:spacing w:beforeLines="0" w:line="240" w:lineRule="auto"/>
      <w:ind w:firstLine="0" w:firstLineChars="0"/>
    </w:pPr>
    <w:rPr>
      <w:rFonts w:ascii="宋体" w:hAnsi="Courier New" w:eastAsia="宋体" w:cs="Courier New"/>
      <w:sz w:val="21"/>
      <w:szCs w:val="21"/>
    </w:rPr>
  </w:style>
  <w:style w:type="paragraph" w:styleId="20">
    <w:name w:val="toc 8"/>
    <w:basedOn w:val="1"/>
    <w:next w:val="1"/>
    <w:qFormat/>
    <w:uiPriority w:val="39"/>
    <w:pPr>
      <w:widowControl w:val="0"/>
      <w:autoSpaceDE w:val="0"/>
      <w:autoSpaceDN w:val="0"/>
      <w:snapToGrid/>
      <w:spacing w:beforeLines="0"/>
      <w:ind w:left="1680" w:firstLine="482" w:firstLineChars="0"/>
      <w:jc w:val="left"/>
      <w:textAlignment w:val="baseline"/>
    </w:pPr>
    <w:rPr>
      <w:rFonts w:eastAsia="宋体"/>
      <w:kern w:val="0"/>
      <w:sz w:val="18"/>
      <w:szCs w:val="18"/>
    </w:rPr>
  </w:style>
  <w:style w:type="paragraph" w:styleId="21">
    <w:name w:val="Body Text Indent 2"/>
    <w:basedOn w:val="1"/>
    <w:link w:val="61"/>
    <w:qFormat/>
    <w:uiPriority w:val="0"/>
    <w:pPr>
      <w:widowControl w:val="0"/>
      <w:autoSpaceDE w:val="0"/>
      <w:autoSpaceDN w:val="0"/>
      <w:snapToGrid/>
      <w:spacing w:beforeLines="0" w:after="120" w:line="480" w:lineRule="auto"/>
      <w:ind w:left="420" w:leftChars="200" w:firstLine="482" w:firstLineChars="0"/>
      <w:textAlignment w:val="baseline"/>
    </w:pPr>
    <w:rPr>
      <w:rFonts w:eastAsia="宋体"/>
      <w:kern w:val="0"/>
      <w:szCs w:val="20"/>
    </w:rPr>
  </w:style>
  <w:style w:type="paragraph" w:styleId="22">
    <w:name w:val="Balloon Text"/>
    <w:basedOn w:val="1"/>
    <w:link w:val="74"/>
    <w:unhideWhenUsed/>
    <w:qFormat/>
    <w:uiPriority w:val="99"/>
    <w:pPr>
      <w:spacing w:line="240" w:lineRule="auto"/>
    </w:pPr>
    <w:rPr>
      <w:sz w:val="18"/>
      <w:szCs w:val="18"/>
    </w:rPr>
  </w:style>
  <w:style w:type="paragraph" w:styleId="23">
    <w:name w:val="footer"/>
    <w:basedOn w:val="1"/>
    <w:link w:val="39"/>
    <w:unhideWhenUsed/>
    <w:qFormat/>
    <w:uiPriority w:val="99"/>
    <w:pPr>
      <w:tabs>
        <w:tab w:val="center" w:pos="4153"/>
        <w:tab w:val="right" w:pos="8306"/>
      </w:tabs>
    </w:pPr>
    <w:rPr>
      <w:sz w:val="18"/>
      <w:szCs w:val="18"/>
    </w:rPr>
  </w:style>
  <w:style w:type="paragraph" w:styleId="24">
    <w:name w:val="header"/>
    <w:basedOn w:val="1"/>
    <w:link w:val="38"/>
    <w:unhideWhenUsed/>
    <w:qFormat/>
    <w:uiPriority w:val="99"/>
    <w:pPr>
      <w:pBdr>
        <w:bottom w:val="single" w:color="auto" w:sz="6" w:space="1"/>
      </w:pBdr>
      <w:tabs>
        <w:tab w:val="center" w:pos="4153"/>
        <w:tab w:val="right" w:pos="8306"/>
      </w:tabs>
      <w:jc w:val="center"/>
    </w:pPr>
    <w:rPr>
      <w:sz w:val="18"/>
      <w:szCs w:val="18"/>
    </w:rPr>
  </w:style>
  <w:style w:type="paragraph" w:styleId="25">
    <w:name w:val="toc 1"/>
    <w:basedOn w:val="1"/>
    <w:next w:val="1"/>
    <w:unhideWhenUsed/>
    <w:qFormat/>
    <w:uiPriority w:val="39"/>
  </w:style>
  <w:style w:type="paragraph" w:styleId="26">
    <w:name w:val="toc 4"/>
    <w:basedOn w:val="1"/>
    <w:next w:val="1"/>
    <w:unhideWhenUsed/>
    <w:qFormat/>
    <w:uiPriority w:val="39"/>
    <w:pPr>
      <w:widowControl w:val="0"/>
      <w:adjustRightInd/>
      <w:snapToGrid/>
      <w:spacing w:beforeLines="0" w:line="240" w:lineRule="auto"/>
      <w:ind w:left="1260" w:leftChars="600" w:firstLine="0" w:firstLineChars="0"/>
    </w:pPr>
    <w:rPr>
      <w:rFonts w:asciiTheme="minorHAnsi" w:hAnsiTheme="minorHAnsi" w:eastAsiaTheme="minorEastAsia" w:cstheme="minorBidi"/>
      <w:sz w:val="21"/>
      <w:szCs w:val="22"/>
    </w:rPr>
  </w:style>
  <w:style w:type="paragraph" w:styleId="27">
    <w:name w:val="toc 6"/>
    <w:basedOn w:val="1"/>
    <w:next w:val="1"/>
    <w:unhideWhenUsed/>
    <w:qFormat/>
    <w:uiPriority w:val="39"/>
    <w:pPr>
      <w:widowControl w:val="0"/>
      <w:adjustRightInd/>
      <w:snapToGrid/>
      <w:spacing w:beforeLines="0" w:line="240" w:lineRule="auto"/>
      <w:ind w:left="2100" w:leftChars="1000" w:firstLine="0" w:firstLineChars="0"/>
    </w:pPr>
    <w:rPr>
      <w:rFonts w:asciiTheme="minorHAnsi" w:hAnsiTheme="minorHAnsi" w:eastAsiaTheme="minorEastAsia" w:cstheme="minorBidi"/>
      <w:sz w:val="21"/>
      <w:szCs w:val="22"/>
    </w:rPr>
  </w:style>
  <w:style w:type="paragraph" w:styleId="28">
    <w:name w:val="toc 2"/>
    <w:basedOn w:val="1"/>
    <w:next w:val="1"/>
    <w:unhideWhenUsed/>
    <w:qFormat/>
    <w:uiPriority w:val="39"/>
    <w:pPr>
      <w:ind w:left="420" w:leftChars="200"/>
    </w:pPr>
  </w:style>
  <w:style w:type="paragraph" w:styleId="29">
    <w:name w:val="toc 9"/>
    <w:basedOn w:val="1"/>
    <w:next w:val="1"/>
    <w:unhideWhenUsed/>
    <w:qFormat/>
    <w:uiPriority w:val="39"/>
    <w:pPr>
      <w:widowControl w:val="0"/>
      <w:adjustRightInd/>
      <w:snapToGrid/>
      <w:spacing w:beforeLines="0" w:line="240" w:lineRule="auto"/>
      <w:ind w:left="3360" w:leftChars="1600" w:firstLine="0" w:firstLineChars="0"/>
    </w:pPr>
    <w:rPr>
      <w:rFonts w:asciiTheme="minorHAnsi" w:hAnsiTheme="minorHAnsi" w:eastAsiaTheme="minorEastAsia" w:cstheme="minorBidi"/>
      <w:sz w:val="21"/>
      <w:szCs w:val="22"/>
    </w:rPr>
  </w:style>
  <w:style w:type="paragraph" w:styleId="30">
    <w:name w:val="Normal (Web)"/>
    <w:basedOn w:val="1"/>
    <w:unhideWhenUsed/>
    <w:qFormat/>
    <w:uiPriority w:val="99"/>
    <w:rPr>
      <w:sz w:val="24"/>
    </w:rPr>
  </w:style>
  <w:style w:type="paragraph" w:styleId="31">
    <w:name w:val="annotation subject"/>
    <w:basedOn w:val="15"/>
    <w:next w:val="15"/>
    <w:link w:val="77"/>
    <w:unhideWhenUsed/>
    <w:qFormat/>
    <w:uiPriority w:val="99"/>
    <w:rPr>
      <w:b/>
      <w:bCs/>
    </w:rPr>
  </w:style>
  <w:style w:type="table" w:styleId="33">
    <w:name w:val="Table Grid"/>
    <w:basedOn w:val="32"/>
    <w:qFormat/>
    <w:uiPriority w:val="0"/>
    <w:rPr>
      <w:rFonts w:eastAsiaTheme="minorEastAsia"/>
      <w:kern w:val="2"/>
      <w:sz w:val="21"/>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35">
    <w:name w:val="Strong"/>
    <w:qFormat/>
    <w:uiPriority w:val="22"/>
    <w:rPr>
      <w:rFonts w:ascii="Times New Roman" w:hAnsi="Times New Roman" w:eastAsia="黑体"/>
      <w:sz w:val="24"/>
    </w:rPr>
  </w:style>
  <w:style w:type="character" w:styleId="36">
    <w:name w:val="Hyperlink"/>
    <w:basedOn w:val="34"/>
    <w:unhideWhenUsed/>
    <w:qFormat/>
    <w:uiPriority w:val="99"/>
    <w:rPr>
      <w:color w:val="0000FF" w:themeColor="hyperlink"/>
      <w:u w:val="single"/>
    </w:rPr>
  </w:style>
  <w:style w:type="character" w:styleId="37">
    <w:name w:val="annotation reference"/>
    <w:basedOn w:val="34"/>
    <w:unhideWhenUsed/>
    <w:qFormat/>
    <w:uiPriority w:val="99"/>
    <w:rPr>
      <w:sz w:val="21"/>
      <w:szCs w:val="21"/>
    </w:rPr>
  </w:style>
  <w:style w:type="character" w:customStyle="1" w:styleId="38">
    <w:name w:val="页眉 Char"/>
    <w:basedOn w:val="34"/>
    <w:link w:val="24"/>
    <w:qFormat/>
    <w:uiPriority w:val="99"/>
    <w:rPr>
      <w:rFonts w:ascii="Tahoma" w:hAnsi="Tahoma"/>
      <w:sz w:val="18"/>
      <w:szCs w:val="18"/>
    </w:rPr>
  </w:style>
  <w:style w:type="character" w:customStyle="1" w:styleId="39">
    <w:name w:val="页脚 Char"/>
    <w:basedOn w:val="34"/>
    <w:link w:val="23"/>
    <w:qFormat/>
    <w:uiPriority w:val="99"/>
    <w:rPr>
      <w:rFonts w:ascii="Tahoma" w:hAnsi="Tahoma"/>
      <w:sz w:val="18"/>
      <w:szCs w:val="18"/>
    </w:rPr>
  </w:style>
  <w:style w:type="character" w:customStyle="1" w:styleId="40">
    <w:name w:val="标题 1 Char"/>
    <w:basedOn w:val="34"/>
    <w:link w:val="3"/>
    <w:qFormat/>
    <w:uiPriority w:val="0"/>
    <w:rPr>
      <w:rFonts w:ascii="Times New Roman" w:hAnsi="Times New Roman" w:eastAsia="仿宋_GB2312" w:cs="Times New Roman"/>
      <w:b/>
      <w:kern w:val="44"/>
      <w:sz w:val="30"/>
      <w:szCs w:val="30"/>
    </w:rPr>
  </w:style>
  <w:style w:type="character" w:customStyle="1" w:styleId="41">
    <w:name w:val="标题 2 Char"/>
    <w:basedOn w:val="34"/>
    <w:link w:val="2"/>
    <w:qFormat/>
    <w:uiPriority w:val="9"/>
    <w:rPr>
      <w:rFonts w:ascii="Times New Roman" w:hAnsi="Times New Roman" w:eastAsia="仿宋_GB2312" w:cs="Times New Roman"/>
      <w:kern w:val="44"/>
      <w:sz w:val="28"/>
      <w:szCs w:val="28"/>
    </w:rPr>
  </w:style>
  <w:style w:type="character" w:customStyle="1" w:styleId="42">
    <w:name w:val="标题 3 Char"/>
    <w:basedOn w:val="34"/>
    <w:link w:val="4"/>
    <w:qFormat/>
    <w:uiPriority w:val="9"/>
    <w:rPr>
      <w:rFonts w:ascii="Times New Roman" w:hAnsi="Times New Roman" w:eastAsia="仿宋_GB2312" w:cs="Times New Roman"/>
      <w:kern w:val="2"/>
      <w:sz w:val="28"/>
      <w:szCs w:val="24"/>
    </w:rPr>
  </w:style>
  <w:style w:type="character" w:customStyle="1" w:styleId="43">
    <w:name w:val="标题 4 Char"/>
    <w:basedOn w:val="34"/>
    <w:link w:val="5"/>
    <w:qFormat/>
    <w:uiPriority w:val="9"/>
    <w:rPr>
      <w:rFonts w:ascii="Times New Roman" w:hAnsi="Times New Roman" w:eastAsia="仿宋_GB2312" w:cs="Times New Roman"/>
      <w:kern w:val="2"/>
      <w:sz w:val="24"/>
      <w:szCs w:val="24"/>
    </w:rPr>
  </w:style>
  <w:style w:type="character" w:customStyle="1" w:styleId="44">
    <w:name w:val="标题 5 Char"/>
    <w:basedOn w:val="34"/>
    <w:link w:val="6"/>
    <w:qFormat/>
    <w:uiPriority w:val="9"/>
    <w:rPr>
      <w:rFonts w:ascii="Times New Roman" w:hAnsi="Times New Roman" w:eastAsia="仿宋_GB2312" w:cs="Times New Roman"/>
      <w:b/>
      <w:bCs/>
      <w:kern w:val="2"/>
      <w:sz w:val="28"/>
      <w:szCs w:val="28"/>
    </w:rPr>
  </w:style>
  <w:style w:type="character" w:customStyle="1" w:styleId="45">
    <w:name w:val="标题 6 Char"/>
    <w:basedOn w:val="34"/>
    <w:link w:val="7"/>
    <w:qFormat/>
    <w:uiPriority w:val="9"/>
    <w:rPr>
      <w:rFonts w:ascii="Cambria" w:hAnsi="Cambria" w:eastAsia="宋体" w:cs="Times New Roman"/>
      <w:b/>
      <w:bCs/>
      <w:kern w:val="2"/>
      <w:sz w:val="28"/>
      <w:szCs w:val="24"/>
    </w:rPr>
  </w:style>
  <w:style w:type="character" w:customStyle="1" w:styleId="46">
    <w:name w:val="标题 7 Char"/>
    <w:basedOn w:val="34"/>
    <w:link w:val="8"/>
    <w:qFormat/>
    <w:uiPriority w:val="9"/>
    <w:rPr>
      <w:rFonts w:ascii="Times New Roman" w:hAnsi="Times New Roman" w:eastAsia="仿宋_GB2312" w:cs="Times New Roman"/>
      <w:b/>
      <w:bCs/>
      <w:kern w:val="2"/>
      <w:sz w:val="28"/>
      <w:szCs w:val="24"/>
    </w:rPr>
  </w:style>
  <w:style w:type="character" w:customStyle="1" w:styleId="47">
    <w:name w:val="标题 8 Char"/>
    <w:basedOn w:val="34"/>
    <w:link w:val="9"/>
    <w:qFormat/>
    <w:uiPriority w:val="9"/>
    <w:rPr>
      <w:rFonts w:ascii="Cambria" w:hAnsi="Cambria" w:eastAsia="宋体" w:cs="Times New Roman"/>
      <w:kern w:val="2"/>
      <w:sz w:val="28"/>
      <w:szCs w:val="24"/>
    </w:rPr>
  </w:style>
  <w:style w:type="character" w:customStyle="1" w:styleId="48">
    <w:name w:val="标题 9 Char"/>
    <w:basedOn w:val="34"/>
    <w:link w:val="10"/>
    <w:qFormat/>
    <w:uiPriority w:val="9"/>
    <w:rPr>
      <w:rFonts w:ascii="Cambria" w:hAnsi="Cambria" w:eastAsia="宋体" w:cs="Times New Roman"/>
      <w:kern w:val="2"/>
      <w:sz w:val="21"/>
      <w:szCs w:val="21"/>
    </w:rPr>
  </w:style>
  <w:style w:type="character" w:customStyle="1" w:styleId="49">
    <w:name w:val="文档结构图 Char"/>
    <w:basedOn w:val="34"/>
    <w:link w:val="14"/>
    <w:semiHidden/>
    <w:qFormat/>
    <w:uiPriority w:val="99"/>
    <w:rPr>
      <w:rFonts w:ascii="宋体" w:hAnsi="Tahoma" w:eastAsia="宋体"/>
      <w:sz w:val="18"/>
      <w:szCs w:val="18"/>
    </w:rPr>
  </w:style>
  <w:style w:type="character" w:customStyle="1" w:styleId="50">
    <w:name w:val="纯文本 Char"/>
    <w:basedOn w:val="34"/>
    <w:qFormat/>
    <w:uiPriority w:val="0"/>
    <w:rPr>
      <w:rFonts w:ascii="宋体" w:hAnsi="Courier New" w:eastAsia="宋体" w:cs="Courier New"/>
      <w:kern w:val="2"/>
      <w:sz w:val="21"/>
      <w:szCs w:val="21"/>
    </w:rPr>
  </w:style>
  <w:style w:type="character" w:customStyle="1" w:styleId="51">
    <w:name w:val="纯文本 Char1"/>
    <w:basedOn w:val="34"/>
    <w:link w:val="19"/>
    <w:qFormat/>
    <w:uiPriority w:val="0"/>
    <w:rPr>
      <w:rFonts w:ascii="宋体" w:hAnsi="Courier New" w:eastAsia="宋体" w:cs="Courier New"/>
      <w:kern w:val="2"/>
      <w:sz w:val="21"/>
      <w:szCs w:val="21"/>
    </w:rPr>
  </w:style>
  <w:style w:type="character" w:customStyle="1" w:styleId="52">
    <w:name w:val="表 Char"/>
    <w:link w:val="53"/>
    <w:qFormat/>
    <w:uiPriority w:val="0"/>
    <w:rPr>
      <w:rFonts w:ascii="Times New Roman" w:hAnsi="Times New Roman" w:eastAsia="仿宋_GB2312"/>
      <w:color w:val="000000"/>
      <w:sz w:val="21"/>
      <w:szCs w:val="18"/>
    </w:rPr>
  </w:style>
  <w:style w:type="paragraph" w:customStyle="1" w:styleId="53">
    <w:name w:val="表"/>
    <w:basedOn w:val="1"/>
    <w:link w:val="52"/>
    <w:qFormat/>
    <w:uiPriority w:val="0"/>
    <w:pPr>
      <w:spacing w:beforeLines="0" w:line="240" w:lineRule="exact"/>
      <w:ind w:firstLine="0" w:firstLineChars="0"/>
      <w:jc w:val="center"/>
    </w:pPr>
    <w:rPr>
      <w:rFonts w:cstheme="minorBidi"/>
      <w:color w:val="000000"/>
      <w:kern w:val="0"/>
      <w:sz w:val="21"/>
      <w:szCs w:val="18"/>
    </w:rPr>
  </w:style>
  <w:style w:type="character" w:customStyle="1" w:styleId="54">
    <w:name w:val="表格题注 Char"/>
    <w:link w:val="55"/>
    <w:qFormat/>
    <w:uiPriority w:val="0"/>
    <w:rPr>
      <w:rFonts w:ascii="Times New Roman" w:hAnsi="Times New Roman" w:eastAsia="仿宋_GB2312"/>
      <w:sz w:val="24"/>
      <w:szCs w:val="24"/>
    </w:rPr>
  </w:style>
  <w:style w:type="paragraph" w:customStyle="1" w:styleId="55">
    <w:name w:val="表格题注"/>
    <w:basedOn w:val="1"/>
    <w:link w:val="54"/>
    <w:qFormat/>
    <w:uiPriority w:val="0"/>
    <w:pPr>
      <w:spacing w:beforeLines="0" w:after="60" w:line="240" w:lineRule="auto"/>
      <w:ind w:firstLine="0" w:firstLineChars="0"/>
      <w:jc w:val="center"/>
    </w:pPr>
    <w:rPr>
      <w:rFonts w:cstheme="minorBidi"/>
      <w:kern w:val="0"/>
    </w:rPr>
  </w:style>
  <w:style w:type="character" w:customStyle="1" w:styleId="56">
    <w:name w:val="正文文本缩进 Char"/>
    <w:basedOn w:val="34"/>
    <w:link w:val="16"/>
    <w:qFormat/>
    <w:uiPriority w:val="0"/>
    <w:rPr>
      <w:rFonts w:eastAsia="仿宋_GB2312"/>
      <w:b/>
      <w:sz w:val="24"/>
    </w:rPr>
  </w:style>
  <w:style w:type="paragraph" w:customStyle="1" w:styleId="57">
    <w:name w:val="样式 首行缩进:  2 字符"/>
    <w:basedOn w:val="1"/>
    <w:qFormat/>
    <w:uiPriority w:val="0"/>
    <w:pPr>
      <w:widowControl w:val="0"/>
      <w:autoSpaceDE w:val="0"/>
      <w:autoSpaceDN w:val="0"/>
      <w:spacing w:beforeLines="0"/>
    </w:pPr>
    <w:rPr>
      <w:rFonts w:eastAsia="宋体" w:cs="宋体"/>
      <w:kern w:val="0"/>
      <w:szCs w:val="20"/>
      <w:lang w:val="zh-CN"/>
    </w:rPr>
  </w:style>
  <w:style w:type="paragraph" w:customStyle="1" w:styleId="58">
    <w:name w:val="引用1"/>
    <w:basedOn w:val="1"/>
    <w:next w:val="1"/>
    <w:link w:val="59"/>
    <w:qFormat/>
    <w:uiPriority w:val="99"/>
    <w:pPr>
      <w:widowControl w:val="0"/>
      <w:adjustRightInd/>
      <w:snapToGrid/>
      <w:spacing w:before="50" w:line="240" w:lineRule="auto"/>
      <w:ind w:firstLine="0" w:firstLineChars="0"/>
      <w:jc w:val="center"/>
    </w:pPr>
    <w:rPr>
      <w:b/>
      <w:iCs/>
      <w:color w:val="000000"/>
    </w:rPr>
  </w:style>
  <w:style w:type="character" w:customStyle="1" w:styleId="59">
    <w:name w:val="引用 Char"/>
    <w:basedOn w:val="34"/>
    <w:link w:val="58"/>
    <w:qFormat/>
    <w:uiPriority w:val="99"/>
    <w:rPr>
      <w:rFonts w:ascii="Times New Roman" w:hAnsi="Times New Roman" w:eastAsia="仿宋_GB2312" w:cs="Times New Roman"/>
      <w:b/>
      <w:iCs/>
      <w:color w:val="000000"/>
      <w:kern w:val="2"/>
      <w:sz w:val="24"/>
      <w:szCs w:val="24"/>
    </w:rPr>
  </w:style>
  <w:style w:type="character" w:customStyle="1" w:styleId="60">
    <w:name w:val="题注 Char"/>
    <w:basedOn w:val="34"/>
    <w:link w:val="13"/>
    <w:qFormat/>
    <w:uiPriority w:val="0"/>
    <w:rPr>
      <w:rFonts w:ascii="Times New Roman" w:hAnsi="Times New Roman" w:eastAsia="仿宋_GB2312" w:cs="Times New Roman"/>
      <w:kern w:val="2"/>
      <w:sz w:val="24"/>
      <w:szCs w:val="20"/>
    </w:rPr>
  </w:style>
  <w:style w:type="character" w:customStyle="1" w:styleId="61">
    <w:name w:val="正文文本缩进 2 Char"/>
    <w:basedOn w:val="34"/>
    <w:link w:val="21"/>
    <w:qFormat/>
    <w:uiPriority w:val="0"/>
    <w:rPr>
      <w:rFonts w:ascii="Times New Roman" w:hAnsi="Times New Roman" w:eastAsia="宋体" w:cs="Times New Roman"/>
      <w:sz w:val="24"/>
      <w:szCs w:val="20"/>
    </w:rPr>
  </w:style>
  <w:style w:type="paragraph" w:customStyle="1" w:styleId="62">
    <w:name w:val="样式 首行缩进:  2 字符 段前: 0.5 行 段后: 0.5 行"/>
    <w:basedOn w:val="1"/>
    <w:qFormat/>
    <w:uiPriority w:val="0"/>
    <w:pPr>
      <w:widowControl w:val="0"/>
      <w:spacing w:beforeLines="0" w:after="120"/>
      <w:ind w:firstLine="480"/>
    </w:pPr>
    <w:rPr>
      <w:rFonts w:eastAsia="宋体"/>
      <w:szCs w:val="20"/>
    </w:rPr>
  </w:style>
  <w:style w:type="paragraph" w:customStyle="1" w:styleId="63">
    <w:name w:val="样式 标题 4标题 4 Char标题 41标题 4 Char Char1标题 4 Char Char Char标题 4...1"/>
    <w:basedOn w:val="5"/>
    <w:qFormat/>
    <w:uiPriority w:val="0"/>
    <w:pPr>
      <w:tabs>
        <w:tab w:val="left" w:pos="0"/>
      </w:tabs>
      <w:autoSpaceDE w:val="0"/>
      <w:autoSpaceDN w:val="0"/>
      <w:adjustRightInd w:val="0"/>
      <w:spacing w:line="360" w:lineRule="auto"/>
      <w:textAlignment w:val="baseline"/>
    </w:pPr>
    <w:rPr>
      <w:rFonts w:ascii="Times" w:hAnsi="Times" w:eastAsia="宋体" w:cs="宋体"/>
      <w:b/>
      <w:bCs/>
    </w:rPr>
  </w:style>
  <w:style w:type="paragraph" w:customStyle="1" w:styleId="64">
    <w:name w:val="样式 题注 + 左"/>
    <w:basedOn w:val="13"/>
    <w:qFormat/>
    <w:uiPriority w:val="0"/>
    <w:pPr>
      <w:adjustRightInd w:val="0"/>
      <w:snapToGrid w:val="0"/>
      <w:spacing w:line="240" w:lineRule="auto"/>
      <w:ind w:left="200" w:leftChars="200"/>
    </w:pPr>
    <w:rPr>
      <w:rFonts w:eastAsia="黑体" w:cs="宋体"/>
      <w:szCs w:val="21"/>
    </w:rPr>
  </w:style>
  <w:style w:type="paragraph" w:customStyle="1" w:styleId="65">
    <w:name w:val="样式 样式 样式 宋体 小四 行距: 1.5 倍行距 + 首行缩进:  2 字符 + 首行缩进:  2 字符"/>
    <w:basedOn w:val="1"/>
    <w:qFormat/>
    <w:uiPriority w:val="0"/>
    <w:pPr>
      <w:widowControl w:val="0"/>
      <w:spacing w:beforeLines="0"/>
    </w:pPr>
    <w:rPr>
      <w:rFonts w:eastAsia="宋体" w:cs="宋体"/>
      <w:szCs w:val="20"/>
    </w:rPr>
  </w:style>
  <w:style w:type="paragraph" w:customStyle="1" w:styleId="66">
    <w:name w:val="样式 样式 宋体 小四 行距: 1.5 倍行距 + 首行缩进:  2 字符"/>
    <w:basedOn w:val="1"/>
    <w:qFormat/>
    <w:uiPriority w:val="0"/>
    <w:pPr>
      <w:widowControl w:val="0"/>
      <w:spacing w:beforeLines="0"/>
    </w:pPr>
    <w:rPr>
      <w:rFonts w:eastAsia="宋体" w:cs="宋体"/>
      <w:szCs w:val="20"/>
    </w:rPr>
  </w:style>
  <w:style w:type="paragraph" w:customStyle="1" w:styleId="67">
    <w:name w:val="表号"/>
    <w:basedOn w:val="1"/>
    <w:link w:val="69"/>
    <w:qFormat/>
    <w:uiPriority w:val="0"/>
    <w:pPr>
      <w:widowControl w:val="0"/>
      <w:overflowPunct w:val="0"/>
      <w:adjustRightInd/>
      <w:snapToGrid/>
      <w:spacing w:beforeLines="0" w:line="320" w:lineRule="exact"/>
      <w:ind w:firstLine="113" w:firstLineChars="0"/>
      <w:textAlignment w:val="baseline"/>
    </w:pPr>
    <w:rPr>
      <w:rFonts w:eastAsia="宋体"/>
      <w:sz w:val="18"/>
      <w:szCs w:val="20"/>
    </w:rPr>
  </w:style>
  <w:style w:type="paragraph" w:customStyle="1" w:styleId="68">
    <w:name w:val="表名"/>
    <w:basedOn w:val="1"/>
    <w:link w:val="70"/>
    <w:qFormat/>
    <w:uiPriority w:val="0"/>
    <w:pPr>
      <w:widowControl w:val="0"/>
      <w:autoSpaceDE w:val="0"/>
      <w:autoSpaceDN w:val="0"/>
      <w:snapToGrid/>
      <w:spacing w:beforeLines="0" w:line="360" w:lineRule="exact"/>
      <w:ind w:firstLine="0" w:firstLineChars="0"/>
      <w:jc w:val="center"/>
      <w:textAlignment w:val="baseline"/>
    </w:pPr>
    <w:rPr>
      <w:rFonts w:eastAsia="黑体"/>
      <w:kern w:val="0"/>
      <w:sz w:val="21"/>
      <w:szCs w:val="21"/>
    </w:rPr>
  </w:style>
  <w:style w:type="character" w:customStyle="1" w:styleId="69">
    <w:name w:val="表号 Char3"/>
    <w:basedOn w:val="34"/>
    <w:link w:val="67"/>
    <w:qFormat/>
    <w:uiPriority w:val="0"/>
    <w:rPr>
      <w:rFonts w:ascii="Times New Roman" w:hAnsi="Times New Roman" w:eastAsia="宋体" w:cs="Times New Roman"/>
      <w:kern w:val="2"/>
      <w:sz w:val="18"/>
      <w:szCs w:val="20"/>
    </w:rPr>
  </w:style>
  <w:style w:type="character" w:customStyle="1" w:styleId="70">
    <w:name w:val="表名 Char3"/>
    <w:basedOn w:val="34"/>
    <w:link w:val="68"/>
    <w:qFormat/>
    <w:uiPriority w:val="0"/>
    <w:rPr>
      <w:rFonts w:ascii="Times New Roman" w:hAnsi="Times New Roman" w:eastAsia="黑体" w:cs="Times New Roman"/>
      <w:sz w:val="21"/>
      <w:szCs w:val="21"/>
    </w:rPr>
  </w:style>
  <w:style w:type="paragraph" w:customStyle="1" w:styleId="71">
    <w:name w:val="列出段落1"/>
    <w:basedOn w:val="1"/>
    <w:qFormat/>
    <w:uiPriority w:val="34"/>
    <w:pPr>
      <w:ind w:firstLine="420"/>
    </w:pPr>
  </w:style>
  <w:style w:type="paragraph" w:customStyle="1" w:styleId="72">
    <w:name w:val="Char2 Char Char Char Char Char Char1 Char Char Char Char Char Char"/>
    <w:basedOn w:val="1"/>
    <w:qFormat/>
    <w:uiPriority w:val="0"/>
    <w:pPr>
      <w:widowControl w:val="0"/>
      <w:adjustRightInd/>
      <w:snapToGrid/>
      <w:spacing w:beforeLines="0"/>
    </w:pPr>
    <w:rPr>
      <w:rFonts w:ascii="宋体" w:hAnsi="宋体" w:eastAsia="宋体" w:cs="宋体"/>
    </w:rPr>
  </w:style>
  <w:style w:type="paragraph" w:customStyle="1" w:styleId="73">
    <w:name w:val="表格标题"/>
    <w:basedOn w:val="1"/>
    <w:next w:val="1"/>
    <w:qFormat/>
    <w:uiPriority w:val="0"/>
    <w:pPr>
      <w:widowControl w:val="0"/>
      <w:adjustRightInd/>
      <w:snapToGrid/>
      <w:jc w:val="center"/>
    </w:pPr>
    <w:rPr>
      <w:rFonts w:eastAsia="宋体" w:cs="宋体"/>
      <w:b/>
      <w:szCs w:val="30"/>
    </w:rPr>
  </w:style>
  <w:style w:type="character" w:customStyle="1" w:styleId="74">
    <w:name w:val="批注框文本 Char"/>
    <w:basedOn w:val="34"/>
    <w:link w:val="22"/>
    <w:semiHidden/>
    <w:qFormat/>
    <w:uiPriority w:val="99"/>
    <w:rPr>
      <w:rFonts w:ascii="Times New Roman" w:hAnsi="Times New Roman" w:eastAsia="仿宋_GB2312" w:cs="Times New Roman"/>
      <w:kern w:val="2"/>
      <w:sz w:val="18"/>
      <w:szCs w:val="18"/>
    </w:rPr>
  </w:style>
  <w:style w:type="paragraph" w:customStyle="1" w:styleId="75">
    <w:name w:val="样式 (符号) 宋体 小三 行距: 1.5 倍行距"/>
    <w:basedOn w:val="1"/>
    <w:qFormat/>
    <w:uiPriority w:val="0"/>
    <w:pPr>
      <w:widowControl w:val="0"/>
      <w:adjustRightInd/>
      <w:snapToGrid/>
      <w:spacing w:beforeLines="0"/>
      <w:ind w:firstLine="560"/>
    </w:pPr>
    <w:rPr>
      <w:rFonts w:hAnsi="宋体" w:eastAsia="宋体"/>
      <w:szCs w:val="28"/>
    </w:rPr>
  </w:style>
  <w:style w:type="character" w:customStyle="1" w:styleId="76">
    <w:name w:val="批注文字 Char"/>
    <w:basedOn w:val="34"/>
    <w:link w:val="15"/>
    <w:semiHidden/>
    <w:qFormat/>
    <w:uiPriority w:val="99"/>
    <w:rPr>
      <w:rFonts w:ascii="Times New Roman" w:hAnsi="Times New Roman" w:eastAsia="仿宋_GB2312" w:cs="Times New Roman"/>
      <w:kern w:val="2"/>
      <w:sz w:val="24"/>
      <w:szCs w:val="24"/>
    </w:rPr>
  </w:style>
  <w:style w:type="character" w:customStyle="1" w:styleId="77">
    <w:name w:val="批注主题 Char"/>
    <w:basedOn w:val="76"/>
    <w:link w:val="31"/>
    <w:semiHidden/>
    <w:qFormat/>
    <w:uiPriority w:val="99"/>
    <w:rPr>
      <w:rFonts w:ascii="Times New Roman" w:hAnsi="Times New Roman" w:eastAsia="仿宋_GB2312" w:cs="Times New Roman"/>
      <w:b/>
      <w:bCs/>
      <w:kern w:val="2"/>
      <w:sz w:val="24"/>
      <w:szCs w:val="24"/>
    </w:rPr>
  </w:style>
  <w:style w:type="character" w:customStyle="1" w:styleId="78">
    <w:name w:val="font11"/>
    <w:basedOn w:val="34"/>
    <w:qFormat/>
    <w:uiPriority w:val="0"/>
    <w:rPr>
      <w:rFonts w:hint="eastAsia" w:ascii="宋体" w:hAnsi="宋体" w:eastAsia="宋体"/>
      <w:color w:val="000000"/>
      <w:sz w:val="18"/>
      <w:szCs w:val="18"/>
      <w:u w:val="none"/>
    </w:rPr>
  </w:style>
  <w:style w:type="character" w:customStyle="1" w:styleId="79">
    <w:name w:val="font61"/>
    <w:basedOn w:val="34"/>
    <w:qFormat/>
    <w:uiPriority w:val="0"/>
    <w:rPr>
      <w:rFonts w:hint="default" w:ascii="Times New Roman" w:hAnsi="Times New Roman" w:cs="Times New Roman"/>
      <w:color w:val="000000"/>
      <w:sz w:val="18"/>
      <w:szCs w:val="18"/>
      <w:u w:val="none"/>
      <w:vertAlign w:val="superscript"/>
    </w:rPr>
  </w:style>
  <w:style w:type="paragraph" w:customStyle="1" w:styleId="80">
    <w:name w:val="表格文字内容"/>
    <w:basedOn w:val="1"/>
    <w:qFormat/>
    <w:uiPriority w:val="0"/>
    <w:pPr>
      <w:spacing w:line="240" w:lineRule="exact"/>
      <w:jc w:val="center"/>
    </w:pPr>
    <w:rPr>
      <w:rFonts w:cs="宋体"/>
      <w:sz w:val="18"/>
      <w:szCs w:val="20"/>
    </w:rPr>
  </w:style>
  <w:style w:type="table" w:customStyle="1" w:styleId="81">
    <w:name w:val="报告表格样式"/>
    <w:basedOn w:val="32"/>
    <w:qFormat/>
    <w:uiPriority w:val="0"/>
    <w:pPr>
      <w:jc w:val="center"/>
    </w:pPr>
    <w:rPr>
      <w:sz w:val="18"/>
    </w:rPr>
    <w:tblPr>
      <w:tblBorders>
        <w:top w:val="single" w:color="auto" w:sz="12" w:space="0"/>
        <w:bottom w:val="single" w:color="auto" w:sz="12" w:space="0"/>
        <w:insideH w:val="single" w:color="auto" w:sz="4" w:space="0"/>
        <w:insideV w:val="single" w:color="auto" w:sz="4" w:space="0"/>
      </w:tblBorders>
      <w:tblCellMar>
        <w:top w:w="0" w:type="dxa"/>
        <w:left w:w="108" w:type="dxa"/>
        <w:bottom w:w="0" w:type="dxa"/>
        <w:right w:w="108" w:type="dxa"/>
      </w:tblCellMar>
    </w:tblPr>
    <w:tcPr>
      <w:vAlign w:val="center"/>
    </w:tcPr>
    <w:tblStylePr w:type="nwCell">
      <w:tcPr>
        <w:tcBorders>
          <w:tl2br w:val="nil"/>
        </w:tcBorders>
      </w:tcPr>
    </w:tblStylePr>
  </w:style>
  <w:style w:type="paragraph" w:customStyle="1" w:styleId="82">
    <w:name w:val="表格"/>
    <w:basedOn w:val="1"/>
    <w:qFormat/>
    <w:uiPriority w:val="0"/>
    <w:pPr>
      <w:adjustRightInd w:val="0"/>
      <w:snapToGrid w:val="0"/>
      <w:spacing w:line="240" w:lineRule="auto"/>
      <w:ind w:firstLine="0" w:firstLineChars="0"/>
      <w:jc w:val="center"/>
    </w:pPr>
    <w:rPr>
      <w:sz w:val="18"/>
      <w:szCs w:val="21"/>
    </w:rPr>
  </w:style>
  <w:style w:type="paragraph" w:customStyle="1" w:styleId="83">
    <w:name w:val="报告正文（藏木山兰）"/>
    <w:basedOn w:val="1"/>
    <w:qFormat/>
    <w:uiPriority w:val="0"/>
    <w:pPr>
      <w:ind w:firstLine="480"/>
    </w:pPr>
    <w:rPr>
      <w:color w:val="0000FF"/>
    </w:rPr>
  </w:style>
  <w:style w:type="paragraph" w:customStyle="1" w:styleId="84">
    <w:name w:val="表文"/>
    <w:basedOn w:val="1"/>
    <w:next w:val="1"/>
    <w:qFormat/>
    <w:uiPriority w:val="0"/>
    <w:pPr>
      <w:overflowPunct w:val="0"/>
      <w:topLinePunct/>
      <w:spacing w:line="240" w:lineRule="auto"/>
      <w:ind w:firstLine="0" w:firstLineChars="0"/>
      <w:jc w:val="center"/>
      <w:outlineLvl w:val="6"/>
    </w:pPr>
    <w:rPr>
      <w:sz w:val="18"/>
      <w:szCs w:val="18"/>
    </w:rPr>
  </w:style>
  <w:style w:type="character" w:customStyle="1" w:styleId="85">
    <w:name w:val="font01"/>
    <w:qFormat/>
    <w:uiPriority w:val="0"/>
    <w:rPr>
      <w:rFonts w:hint="eastAsia" w:ascii="宋体" w:hAnsi="宋体" w:eastAsia="宋体" w:cs="宋体"/>
      <w:color w:val="333333"/>
      <w:sz w:val="20"/>
      <w:szCs w:val="20"/>
      <w:u w:val="none"/>
    </w:rPr>
  </w:style>
  <w:style w:type="character" w:customStyle="1" w:styleId="86">
    <w:name w:val="font31"/>
    <w:basedOn w:val="34"/>
    <w:qFormat/>
    <w:uiPriority w:val="0"/>
    <w:rPr>
      <w:rFonts w:ascii="Calibri" w:hAnsi="Calibri" w:cs="Calibri"/>
      <w:color w:val="000000"/>
      <w:sz w:val="21"/>
      <w:szCs w:val="21"/>
      <w:u w:val="none"/>
    </w:rPr>
  </w:style>
  <w:style w:type="character" w:customStyle="1" w:styleId="87">
    <w:name w:val="font41"/>
    <w:basedOn w:val="34"/>
    <w:qFormat/>
    <w:uiPriority w:val="0"/>
    <w:rPr>
      <w:rFonts w:hint="eastAsia" w:ascii="仿宋" w:hAnsi="仿宋" w:eastAsia="仿宋" w:cs="仿宋"/>
      <w:color w:val="000000"/>
      <w:sz w:val="18"/>
      <w:szCs w:val="18"/>
      <w:u w:val="none"/>
    </w:rPr>
  </w:style>
  <w:style w:type="paragraph" w:customStyle="1" w:styleId="88">
    <w:name w:val="标准"/>
    <w:qFormat/>
    <w:uiPriority w:val="0"/>
    <w:pPr>
      <w:widowControl w:val="0"/>
      <w:spacing w:line="360" w:lineRule="auto"/>
      <w:ind w:firstLine="480" w:firstLineChars="200"/>
      <w:jc w:val="both"/>
    </w:pPr>
    <w:rPr>
      <w:rFonts w:ascii="Times New Roman" w:hAnsi="Times New Roman" w:eastAsia="仿宋_GB2312" w:cs="Times New Roman"/>
      <w:kern w:val="2"/>
      <w:sz w:val="24"/>
      <w:szCs w:val="28"/>
      <w:lang w:val="en-US" w:eastAsia="zh-CN" w:bidi="ar-SA"/>
    </w:rPr>
  </w:style>
  <w:style w:type="character" w:customStyle="1" w:styleId="89">
    <w:name w:val="表文 Char"/>
    <w:basedOn w:val="34"/>
    <w:qFormat/>
    <w:uiPriority w:val="0"/>
    <w:rPr>
      <w:rFonts w:hint="eastAsia" w:ascii="仿宋_GB2312" w:eastAsia="仿宋_GB2312" w:cs="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9" Type="http://schemas.openxmlformats.org/officeDocument/2006/relationships/fontTable" Target="fontTable.xml"/><Relationship Id="rId38" Type="http://schemas.microsoft.com/office/2006/relationships/keyMapCustomizations" Target="customizations.xml"/><Relationship Id="rId37" Type="http://schemas.openxmlformats.org/officeDocument/2006/relationships/customXml" Target="../customXml/item2.xml"/><Relationship Id="rId36" Type="http://schemas.openxmlformats.org/officeDocument/2006/relationships/numbering" Target="numbering.xml"/><Relationship Id="rId35" Type="http://schemas.openxmlformats.org/officeDocument/2006/relationships/customXml" Target="../customXml/item1.xml"/><Relationship Id="rId34" Type="http://schemas.openxmlformats.org/officeDocument/2006/relationships/image" Target="media/image4.png"/><Relationship Id="rId33" Type="http://schemas.openxmlformats.org/officeDocument/2006/relationships/image" Target="media/image3.png"/><Relationship Id="rId32" Type="http://schemas.openxmlformats.org/officeDocument/2006/relationships/image" Target="media/image2.png"/><Relationship Id="rId31" Type="http://schemas.openxmlformats.org/officeDocument/2006/relationships/image" Target="media/image1.png"/><Relationship Id="rId30" Type="http://schemas.openxmlformats.org/officeDocument/2006/relationships/theme" Target="theme/theme1.xml"/><Relationship Id="rId3" Type="http://schemas.openxmlformats.org/officeDocument/2006/relationships/header" Target="header1.xml"/><Relationship Id="rId29" Type="http://schemas.openxmlformats.org/officeDocument/2006/relationships/header" Target="header17.xml"/><Relationship Id="rId28" Type="http://schemas.openxmlformats.org/officeDocument/2006/relationships/header" Target="header16.xml"/><Relationship Id="rId27" Type="http://schemas.openxmlformats.org/officeDocument/2006/relationships/header" Target="header15.xml"/><Relationship Id="rId26" Type="http://schemas.openxmlformats.org/officeDocument/2006/relationships/header" Target="header14.xml"/><Relationship Id="rId25" Type="http://schemas.openxmlformats.org/officeDocument/2006/relationships/header" Target="header13.xml"/><Relationship Id="rId24" Type="http://schemas.openxmlformats.org/officeDocument/2006/relationships/header" Target="header12.xml"/><Relationship Id="rId23" Type="http://schemas.openxmlformats.org/officeDocument/2006/relationships/header" Target="header11.xml"/><Relationship Id="rId22" Type="http://schemas.openxmlformats.org/officeDocument/2006/relationships/footer" Target="footer10.xml"/><Relationship Id="rId21" Type="http://schemas.openxmlformats.org/officeDocument/2006/relationships/header" Target="header10.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198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818206-C56D-4A0B-82D0-767386115ADF}">
  <ds:schemaRefs/>
</ds:datastoreItem>
</file>

<file path=docProps/app.xml><?xml version="1.0" encoding="utf-8"?>
<Properties xmlns="http://schemas.openxmlformats.org/officeDocument/2006/extended-properties" xmlns:vt="http://schemas.openxmlformats.org/officeDocument/2006/docPropsVTypes">
  <Template>Normal</Template>
  <Pages>1</Pages>
  <Words>8331</Words>
  <Characters>47490</Characters>
  <Lines>395</Lines>
  <Paragraphs>111</Paragraphs>
  <TotalTime>2</TotalTime>
  <ScaleCrop>false</ScaleCrop>
  <LinksUpToDate>false</LinksUpToDate>
  <CharactersWithSpaces>55710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2019-01-19T07:51:00Z</dcterms:created>
  <dc:creator>Administrator</dc:creator>
  <cp:lastModifiedBy>李斯特</cp:lastModifiedBy>
  <dcterms:modified xsi:type="dcterms:W3CDTF">2021-05-15T15:49:58Z</dcterms:modified>
  <cp:revision>267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